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FED" w:rsidRPr="00335C6E" w:rsidRDefault="00335C6E" w:rsidP="0058752A">
      <w:pPr>
        <w:ind w:left="-90" w:firstLine="90"/>
        <w:jc w:val="both"/>
        <w:rPr>
          <w:rFonts w:ascii="Bookman Old Style" w:hAnsi="Bookman Old Style" w:cs="Arial"/>
          <w:b/>
          <w:sz w:val="26"/>
          <w:szCs w:val="26"/>
        </w:rPr>
      </w:pPr>
      <w:bookmarkStart w:id="0" w:name="_GoBack"/>
      <w:bookmarkEnd w:id="0"/>
      <w:r w:rsidRPr="00335C6E">
        <w:rPr>
          <w:rFonts w:ascii="Bookman Old Style" w:hAnsi="Bookman Old Style" w:cs="Arial"/>
          <w:b/>
          <w:sz w:val="26"/>
          <w:szCs w:val="26"/>
        </w:rPr>
        <w:t xml:space="preserve">10.07 </w:t>
      </w:r>
      <w:r w:rsidR="006F557A">
        <w:rPr>
          <w:rFonts w:ascii="Bookman Old Style" w:hAnsi="Bookman Old Style" w:cs="Arial"/>
          <w:b/>
          <w:sz w:val="26"/>
          <w:szCs w:val="26"/>
        </w:rPr>
        <w:tab/>
      </w:r>
      <w:r w:rsidR="00C20FED" w:rsidRPr="00335C6E">
        <w:rPr>
          <w:rFonts w:ascii="Bookman Old Style" w:hAnsi="Bookman Old Style" w:cs="Arial"/>
          <w:b/>
          <w:sz w:val="26"/>
          <w:szCs w:val="26"/>
        </w:rPr>
        <w:t>P</w:t>
      </w:r>
      <w:r w:rsidRPr="00335C6E">
        <w:rPr>
          <w:rFonts w:ascii="Bookman Old Style" w:hAnsi="Bookman Old Style" w:cs="Arial"/>
          <w:b/>
          <w:sz w:val="26"/>
          <w:szCs w:val="26"/>
        </w:rPr>
        <w:t>REDATORY LENDING</w:t>
      </w:r>
    </w:p>
    <w:p w:rsidR="00C20FED" w:rsidRPr="00CC3C0D" w:rsidRDefault="00C20FED" w:rsidP="0058752A">
      <w:pPr>
        <w:ind w:left="-90" w:firstLine="90"/>
        <w:jc w:val="both"/>
        <w:rPr>
          <w:rFonts w:ascii="Bookman Old Style" w:hAnsi="Bookman Old Style" w:cs="Arial"/>
          <w:sz w:val="26"/>
          <w:szCs w:val="26"/>
        </w:rPr>
      </w:pPr>
    </w:p>
    <w:p w:rsidR="00C20FED" w:rsidRPr="00CC3C0D" w:rsidRDefault="00C20FED" w:rsidP="0058752A">
      <w:pPr>
        <w:ind w:left="-90" w:firstLine="90"/>
        <w:jc w:val="both"/>
        <w:rPr>
          <w:rFonts w:ascii="Bookman Old Style" w:hAnsi="Bookman Old Style" w:cs="Arial"/>
          <w:b/>
          <w:sz w:val="26"/>
          <w:szCs w:val="26"/>
        </w:rPr>
      </w:pPr>
    </w:p>
    <w:p w:rsidR="00C20FED" w:rsidRPr="00CC3C0D" w:rsidRDefault="00E0113C" w:rsidP="00221BBF">
      <w:pPr>
        <w:spacing w:line="480" w:lineRule="auto"/>
        <w:jc w:val="both"/>
        <w:rPr>
          <w:rFonts w:ascii="Bookman Old Style" w:hAnsi="Bookman Old Style" w:cs="Arial"/>
          <w:i/>
          <w:sz w:val="26"/>
          <w:szCs w:val="26"/>
        </w:rPr>
      </w:pPr>
      <w:r w:rsidRPr="00CC3C0D">
        <w:rPr>
          <w:rFonts w:ascii="Bookman Old Style" w:hAnsi="Bookman Old Style" w:cs="Arial"/>
          <w:sz w:val="26"/>
          <w:szCs w:val="26"/>
        </w:rPr>
        <w:t>The p</w:t>
      </w:r>
      <w:r w:rsidR="00C20FED" w:rsidRPr="00CC3C0D">
        <w:rPr>
          <w:rFonts w:ascii="Bookman Old Style" w:hAnsi="Bookman Old Style" w:cs="Arial"/>
          <w:sz w:val="26"/>
          <w:szCs w:val="26"/>
        </w:rPr>
        <w:t xml:space="preserve">laintiff claims that </w:t>
      </w:r>
      <w:r w:rsidRPr="00CC3C0D">
        <w:rPr>
          <w:rFonts w:ascii="Bookman Old Style" w:hAnsi="Bookman Old Style" w:cs="Arial"/>
          <w:sz w:val="26"/>
          <w:szCs w:val="26"/>
        </w:rPr>
        <w:t>the d</w:t>
      </w:r>
      <w:r w:rsidR="00C20FED" w:rsidRPr="00CC3C0D">
        <w:rPr>
          <w:rFonts w:ascii="Bookman Old Style" w:hAnsi="Bookman Old Style" w:cs="Arial"/>
          <w:sz w:val="26"/>
          <w:szCs w:val="26"/>
        </w:rPr>
        <w:t>efendant</w:t>
      </w:r>
      <w:r w:rsidR="00B87BC1">
        <w:rPr>
          <w:rFonts w:ascii="Bookman Old Style" w:hAnsi="Bookman Old Style" w:cs="Arial"/>
          <w:sz w:val="26"/>
          <w:szCs w:val="26"/>
        </w:rPr>
        <w:t>[</w:t>
      </w:r>
      <w:r w:rsidR="00C20FED" w:rsidRPr="00CC3C0D">
        <w:rPr>
          <w:rFonts w:ascii="Bookman Old Style" w:hAnsi="Bookman Old Style" w:cs="Arial"/>
          <w:sz w:val="26"/>
          <w:szCs w:val="26"/>
        </w:rPr>
        <w:t>s</w:t>
      </w:r>
      <w:r w:rsidR="00B87BC1">
        <w:rPr>
          <w:rFonts w:ascii="Bookman Old Style" w:hAnsi="Bookman Old Style" w:cs="Arial"/>
          <w:sz w:val="26"/>
          <w:szCs w:val="26"/>
        </w:rPr>
        <w:t>]</w:t>
      </w:r>
      <w:r w:rsidR="00C20FED" w:rsidRPr="00CC3C0D">
        <w:rPr>
          <w:rFonts w:ascii="Bookman Old Style" w:hAnsi="Bookman Old Style" w:cs="Arial"/>
          <w:sz w:val="26"/>
          <w:szCs w:val="26"/>
        </w:rPr>
        <w:t xml:space="preserve"> </w:t>
      </w:r>
      <w:r w:rsidR="00900620" w:rsidRPr="00CC3C0D">
        <w:rPr>
          <w:rFonts w:ascii="Bookman Old Style" w:hAnsi="Bookman Old Style" w:cs="Arial"/>
          <w:sz w:val="26"/>
          <w:szCs w:val="26"/>
        </w:rPr>
        <w:t xml:space="preserve">committed an unfair or deceptive act or practice </w:t>
      </w:r>
      <w:r w:rsidR="00852A1E" w:rsidRPr="00CC3C0D">
        <w:rPr>
          <w:rFonts w:ascii="Bookman Old Style" w:hAnsi="Bookman Old Style" w:cs="Arial"/>
          <w:sz w:val="26"/>
          <w:szCs w:val="26"/>
        </w:rPr>
        <w:t>in the way [it] [they] made or enforced the loan to the plaintiff</w:t>
      </w:r>
      <w:r w:rsidR="00C20FED" w:rsidRPr="00CC3C0D">
        <w:rPr>
          <w:rFonts w:ascii="Bookman Old Style" w:hAnsi="Bookman Old Style" w:cs="Arial"/>
          <w:sz w:val="26"/>
          <w:szCs w:val="26"/>
        </w:rPr>
        <w:t xml:space="preserve">.  To decide </w:t>
      </w:r>
      <w:r w:rsidR="00900620" w:rsidRPr="00CC3C0D">
        <w:rPr>
          <w:rFonts w:ascii="Bookman Old Style" w:hAnsi="Bookman Old Style" w:cs="Arial"/>
          <w:sz w:val="26"/>
          <w:szCs w:val="26"/>
        </w:rPr>
        <w:t>whether the defendant</w:t>
      </w:r>
      <w:r w:rsidR="00B87BC1">
        <w:rPr>
          <w:rFonts w:ascii="Bookman Old Style" w:hAnsi="Bookman Old Style" w:cs="Arial"/>
          <w:sz w:val="26"/>
          <w:szCs w:val="26"/>
        </w:rPr>
        <w:t>[</w:t>
      </w:r>
      <w:r w:rsidR="00B87BC1" w:rsidRPr="00CC3C0D">
        <w:rPr>
          <w:rFonts w:ascii="Bookman Old Style" w:hAnsi="Bookman Old Style" w:cs="Arial"/>
          <w:sz w:val="26"/>
          <w:szCs w:val="26"/>
        </w:rPr>
        <w:t>s</w:t>
      </w:r>
      <w:r w:rsidR="00B87BC1">
        <w:rPr>
          <w:rFonts w:ascii="Bookman Old Style" w:hAnsi="Bookman Old Style" w:cs="Arial"/>
          <w:sz w:val="26"/>
          <w:szCs w:val="26"/>
        </w:rPr>
        <w:t>]</w:t>
      </w:r>
      <w:r w:rsidR="00900620" w:rsidRPr="00CC3C0D">
        <w:rPr>
          <w:rFonts w:ascii="Bookman Old Style" w:hAnsi="Bookman Old Style" w:cs="Arial"/>
          <w:sz w:val="26"/>
          <w:szCs w:val="26"/>
        </w:rPr>
        <w:t xml:space="preserve"> committed an unfair or deceptive act or practice</w:t>
      </w:r>
      <w:r w:rsidR="00C20FED" w:rsidRPr="00CC3C0D">
        <w:rPr>
          <w:rFonts w:ascii="Bookman Old Style" w:hAnsi="Bookman Old Style" w:cs="Arial"/>
          <w:sz w:val="26"/>
          <w:szCs w:val="26"/>
        </w:rPr>
        <w:t>, you should consider these factors:</w:t>
      </w:r>
    </w:p>
    <w:p w:rsidR="00C20FED" w:rsidRPr="00CC3C0D" w:rsidRDefault="00C20FED" w:rsidP="00335C6E">
      <w:pPr>
        <w:spacing w:line="480" w:lineRule="auto"/>
        <w:jc w:val="both"/>
        <w:rPr>
          <w:rFonts w:ascii="Bookman Old Style" w:hAnsi="Bookman Old Style" w:cs="Arial"/>
          <w:i/>
          <w:sz w:val="26"/>
          <w:szCs w:val="26"/>
        </w:rPr>
      </w:pPr>
    </w:p>
    <w:p w:rsidR="00C20FED" w:rsidRPr="00CC3C0D" w:rsidRDefault="00C20FED" w:rsidP="00335C6E">
      <w:pPr>
        <w:spacing w:line="480" w:lineRule="auto"/>
        <w:ind w:left="1440" w:hanging="720"/>
        <w:jc w:val="both"/>
        <w:rPr>
          <w:rFonts w:ascii="Bookman Old Style" w:hAnsi="Bookman Old Style" w:cs="Arial"/>
          <w:sz w:val="26"/>
          <w:szCs w:val="26"/>
        </w:rPr>
      </w:pPr>
      <w:r w:rsidRPr="00CC3C0D">
        <w:rPr>
          <w:rFonts w:ascii="Bookman Old Style" w:hAnsi="Bookman Old Style" w:cs="Arial"/>
          <w:sz w:val="26"/>
          <w:szCs w:val="26"/>
        </w:rPr>
        <w:t>1.</w:t>
      </w:r>
      <w:r w:rsidRPr="00CC3C0D">
        <w:rPr>
          <w:rFonts w:ascii="Bookman Old Style" w:hAnsi="Bookman Old Style" w:cs="Arial"/>
          <w:sz w:val="26"/>
          <w:szCs w:val="26"/>
        </w:rPr>
        <w:tab/>
        <w:t xml:space="preserve">Whether the loan was made with knowledge that there was no reasonable probability that </w:t>
      </w:r>
      <w:r w:rsidR="00E0113C" w:rsidRPr="00CC3C0D">
        <w:rPr>
          <w:rFonts w:ascii="Bookman Old Style" w:hAnsi="Bookman Old Style" w:cs="Arial"/>
          <w:sz w:val="26"/>
          <w:szCs w:val="26"/>
        </w:rPr>
        <w:t xml:space="preserve">the </w:t>
      </w:r>
      <w:r w:rsidRPr="00CC3C0D">
        <w:rPr>
          <w:rFonts w:ascii="Bookman Old Style" w:hAnsi="Bookman Old Style" w:cs="Arial"/>
          <w:sz w:val="26"/>
          <w:szCs w:val="26"/>
        </w:rPr>
        <w:t>plaintiff would be able to repay it;</w:t>
      </w:r>
    </w:p>
    <w:p w:rsidR="00C20FED" w:rsidRPr="00CC3C0D" w:rsidRDefault="00C20FED" w:rsidP="00335C6E">
      <w:pPr>
        <w:spacing w:line="480" w:lineRule="auto"/>
        <w:ind w:left="1440" w:hanging="720"/>
        <w:jc w:val="both"/>
        <w:rPr>
          <w:rFonts w:ascii="Bookman Old Style" w:hAnsi="Bookman Old Style" w:cs="Arial"/>
          <w:sz w:val="26"/>
          <w:szCs w:val="26"/>
        </w:rPr>
      </w:pPr>
      <w:r w:rsidRPr="00CC3C0D">
        <w:rPr>
          <w:rFonts w:ascii="Bookman Old Style" w:hAnsi="Bookman Old Style" w:cs="Arial"/>
          <w:sz w:val="26"/>
          <w:szCs w:val="26"/>
        </w:rPr>
        <w:t>2.</w:t>
      </w:r>
      <w:r w:rsidRPr="00CC3C0D">
        <w:rPr>
          <w:rFonts w:ascii="Bookman Old Style" w:hAnsi="Bookman Old Style" w:cs="Arial"/>
          <w:sz w:val="26"/>
          <w:szCs w:val="26"/>
        </w:rPr>
        <w:tab/>
        <w:t xml:space="preserve">Whether the loan was made with knowledge that </w:t>
      </w:r>
      <w:r w:rsidR="00E0113C" w:rsidRPr="00CC3C0D">
        <w:rPr>
          <w:rFonts w:ascii="Bookman Old Style" w:hAnsi="Bookman Old Style" w:cs="Arial"/>
          <w:sz w:val="26"/>
          <w:szCs w:val="26"/>
        </w:rPr>
        <w:t xml:space="preserve">the </w:t>
      </w:r>
      <w:r w:rsidRPr="00CC3C0D">
        <w:rPr>
          <w:rFonts w:ascii="Bookman Old Style" w:hAnsi="Bookman Old Style" w:cs="Arial"/>
          <w:sz w:val="26"/>
          <w:szCs w:val="26"/>
        </w:rPr>
        <w:t>plaintiff would not receive any substantial benefit from the loan;</w:t>
      </w:r>
    </w:p>
    <w:p w:rsidR="00C20FED" w:rsidRPr="00CC3C0D" w:rsidRDefault="00C20FED" w:rsidP="00335C6E">
      <w:pPr>
        <w:spacing w:line="480" w:lineRule="auto"/>
        <w:ind w:left="1440" w:hanging="720"/>
        <w:jc w:val="both"/>
        <w:rPr>
          <w:rFonts w:ascii="Bookman Old Style" w:hAnsi="Bookman Old Style" w:cs="Arial"/>
          <w:sz w:val="26"/>
          <w:szCs w:val="26"/>
        </w:rPr>
      </w:pPr>
      <w:r w:rsidRPr="00CC3C0D">
        <w:rPr>
          <w:rFonts w:ascii="Bookman Old Style" w:hAnsi="Bookman Old Style" w:cs="Arial"/>
          <w:sz w:val="26"/>
          <w:szCs w:val="26"/>
        </w:rPr>
        <w:t>3.</w:t>
      </w:r>
      <w:r w:rsidRPr="00CC3C0D">
        <w:rPr>
          <w:rFonts w:ascii="Bookman Old Style" w:hAnsi="Bookman Old Style" w:cs="Arial"/>
          <w:sz w:val="26"/>
          <w:szCs w:val="26"/>
        </w:rPr>
        <w:tab/>
        <w:t xml:space="preserve">Whether </w:t>
      </w:r>
      <w:r w:rsidR="00E0113C" w:rsidRPr="00CC3C0D">
        <w:rPr>
          <w:rFonts w:ascii="Bookman Old Style" w:hAnsi="Bookman Old Style" w:cs="Arial"/>
          <w:sz w:val="26"/>
          <w:szCs w:val="26"/>
        </w:rPr>
        <w:t xml:space="preserve">the </w:t>
      </w:r>
      <w:r w:rsidRPr="00CC3C0D">
        <w:rPr>
          <w:rFonts w:ascii="Bookman Old Style" w:hAnsi="Bookman Old Style" w:cs="Arial"/>
          <w:sz w:val="26"/>
          <w:szCs w:val="26"/>
        </w:rPr>
        <w:t>plaintiff was charged excessive brokers’ fees, closing agent fees</w:t>
      </w:r>
      <w:r w:rsidR="00E0113C" w:rsidRPr="00CC3C0D">
        <w:rPr>
          <w:rFonts w:ascii="Bookman Old Style" w:hAnsi="Bookman Old Style" w:cs="Arial"/>
          <w:sz w:val="26"/>
          <w:szCs w:val="26"/>
        </w:rPr>
        <w:t>,</w:t>
      </w:r>
      <w:r w:rsidRPr="00CC3C0D">
        <w:rPr>
          <w:rFonts w:ascii="Bookman Old Style" w:hAnsi="Bookman Old Style" w:cs="Arial"/>
          <w:sz w:val="26"/>
          <w:szCs w:val="26"/>
        </w:rPr>
        <w:t xml:space="preserve"> and other charges for services which showed a gross disparity between the cost of [</w:t>
      </w:r>
      <w:r w:rsidR="00E0113C" w:rsidRPr="00CC3C0D">
        <w:rPr>
          <w:rFonts w:ascii="Bookman Old Style" w:hAnsi="Bookman Old Style" w:cs="Arial"/>
          <w:sz w:val="26"/>
          <w:szCs w:val="26"/>
        </w:rPr>
        <w:t>the d</w:t>
      </w:r>
      <w:r w:rsidRPr="00CC3C0D">
        <w:rPr>
          <w:rFonts w:ascii="Bookman Old Style" w:hAnsi="Bookman Old Style" w:cs="Arial"/>
          <w:sz w:val="26"/>
          <w:szCs w:val="26"/>
        </w:rPr>
        <w:t>efendant</w:t>
      </w:r>
      <w:r w:rsidR="00E0113C" w:rsidRPr="00CC3C0D">
        <w:rPr>
          <w:rFonts w:ascii="Bookman Old Style" w:hAnsi="Bookman Old Style" w:cs="Arial"/>
          <w:sz w:val="26"/>
          <w:szCs w:val="26"/>
        </w:rPr>
        <w:t>’</w:t>
      </w:r>
      <w:r w:rsidRPr="00CC3C0D">
        <w:rPr>
          <w:rFonts w:ascii="Bookman Old Style" w:hAnsi="Bookman Old Style" w:cs="Arial"/>
          <w:sz w:val="26"/>
          <w:szCs w:val="26"/>
        </w:rPr>
        <w:t xml:space="preserve">s] </w:t>
      </w:r>
      <w:r w:rsidR="00E0113C" w:rsidRPr="00CC3C0D">
        <w:rPr>
          <w:rFonts w:ascii="Bookman Old Style" w:hAnsi="Bookman Old Style" w:cs="Arial"/>
          <w:sz w:val="26"/>
          <w:szCs w:val="26"/>
        </w:rPr>
        <w:t xml:space="preserve">[the defendants’] </w:t>
      </w:r>
      <w:r w:rsidRPr="00CC3C0D">
        <w:rPr>
          <w:rFonts w:ascii="Bookman Old Style" w:hAnsi="Bookman Old Style" w:cs="Arial"/>
          <w:sz w:val="26"/>
          <w:szCs w:val="26"/>
        </w:rPr>
        <w:t>services and the cost of mortgage services readily obtainable in the marketplace;</w:t>
      </w:r>
      <w:r w:rsidRPr="00CC3C0D">
        <w:rPr>
          <w:rFonts w:ascii="Bookman Old Style" w:hAnsi="Bookman Old Style" w:cs="Arial"/>
          <w:sz w:val="26"/>
          <w:szCs w:val="26"/>
        </w:rPr>
        <w:tab/>
      </w:r>
    </w:p>
    <w:p w:rsidR="00C20FED" w:rsidRPr="00CC3C0D" w:rsidRDefault="00C20FED" w:rsidP="00335C6E">
      <w:pPr>
        <w:spacing w:line="480" w:lineRule="auto"/>
        <w:ind w:left="1440" w:hanging="720"/>
        <w:jc w:val="both"/>
        <w:rPr>
          <w:rFonts w:ascii="Bookman Old Style" w:hAnsi="Bookman Old Style" w:cs="Arial"/>
          <w:sz w:val="26"/>
          <w:szCs w:val="26"/>
        </w:rPr>
      </w:pPr>
      <w:r w:rsidRPr="00CC3C0D">
        <w:rPr>
          <w:rFonts w:ascii="Bookman Old Style" w:hAnsi="Bookman Old Style" w:cs="Arial"/>
          <w:sz w:val="26"/>
          <w:szCs w:val="26"/>
        </w:rPr>
        <w:t>4.</w:t>
      </w:r>
      <w:r w:rsidRPr="00CC3C0D">
        <w:rPr>
          <w:rFonts w:ascii="Bookman Old Style" w:hAnsi="Bookman Old Style" w:cs="Arial"/>
          <w:sz w:val="26"/>
          <w:szCs w:val="26"/>
        </w:rPr>
        <w:tab/>
        <w:t>Whether the defendant</w:t>
      </w:r>
      <w:r w:rsidR="00B87BC1">
        <w:rPr>
          <w:rFonts w:ascii="Bookman Old Style" w:hAnsi="Bookman Old Style" w:cs="Arial"/>
          <w:sz w:val="26"/>
          <w:szCs w:val="26"/>
        </w:rPr>
        <w:t>[</w:t>
      </w:r>
      <w:r w:rsidR="00B87BC1" w:rsidRPr="00CC3C0D">
        <w:rPr>
          <w:rFonts w:ascii="Bookman Old Style" w:hAnsi="Bookman Old Style" w:cs="Arial"/>
          <w:sz w:val="26"/>
          <w:szCs w:val="26"/>
        </w:rPr>
        <w:t>s</w:t>
      </w:r>
      <w:r w:rsidR="00B87BC1">
        <w:rPr>
          <w:rFonts w:ascii="Bookman Old Style" w:hAnsi="Bookman Old Style" w:cs="Arial"/>
          <w:sz w:val="26"/>
          <w:szCs w:val="26"/>
        </w:rPr>
        <w:t>]</w:t>
      </w:r>
      <w:r w:rsidRPr="00CC3C0D">
        <w:rPr>
          <w:rFonts w:ascii="Bookman Old Style" w:hAnsi="Bookman Old Style" w:cs="Arial"/>
          <w:sz w:val="26"/>
          <w:szCs w:val="26"/>
        </w:rPr>
        <w:t xml:space="preserve"> took advantage of </w:t>
      </w:r>
      <w:r w:rsidR="00E0113C" w:rsidRPr="00CC3C0D">
        <w:rPr>
          <w:rFonts w:ascii="Bookman Old Style" w:hAnsi="Bookman Old Style" w:cs="Arial"/>
          <w:sz w:val="26"/>
          <w:szCs w:val="26"/>
        </w:rPr>
        <w:t xml:space="preserve">the </w:t>
      </w:r>
      <w:r w:rsidRPr="00CC3C0D">
        <w:rPr>
          <w:rFonts w:ascii="Bookman Old Style" w:hAnsi="Bookman Old Style" w:cs="Arial"/>
          <w:sz w:val="26"/>
          <w:szCs w:val="26"/>
        </w:rPr>
        <w:t xml:space="preserve">plaintiff’s inability to protect </w:t>
      </w:r>
      <w:r w:rsidR="00E0113C" w:rsidRPr="00CC3C0D">
        <w:rPr>
          <w:rFonts w:ascii="Bookman Old Style" w:hAnsi="Bookman Old Style" w:cs="Arial"/>
          <w:sz w:val="26"/>
          <w:szCs w:val="26"/>
        </w:rPr>
        <w:t>[</w:t>
      </w:r>
      <w:r w:rsidRPr="00CC3C0D">
        <w:rPr>
          <w:rFonts w:ascii="Bookman Old Style" w:hAnsi="Bookman Old Style" w:cs="Arial"/>
          <w:sz w:val="26"/>
          <w:szCs w:val="26"/>
        </w:rPr>
        <w:t>his</w:t>
      </w:r>
      <w:r w:rsidR="00E0113C" w:rsidRPr="00CC3C0D">
        <w:rPr>
          <w:rFonts w:ascii="Bookman Old Style" w:hAnsi="Bookman Old Style" w:cs="Arial"/>
          <w:sz w:val="26"/>
          <w:szCs w:val="26"/>
        </w:rPr>
        <w:t>][</w:t>
      </w:r>
      <w:r w:rsidRPr="00CC3C0D">
        <w:rPr>
          <w:rFonts w:ascii="Bookman Old Style" w:hAnsi="Bookman Old Style" w:cs="Arial"/>
          <w:sz w:val="26"/>
          <w:szCs w:val="26"/>
        </w:rPr>
        <w:t>her</w:t>
      </w:r>
      <w:r w:rsidR="00E0113C" w:rsidRPr="00CC3C0D">
        <w:rPr>
          <w:rFonts w:ascii="Bookman Old Style" w:hAnsi="Bookman Old Style" w:cs="Arial"/>
          <w:sz w:val="26"/>
          <w:szCs w:val="26"/>
        </w:rPr>
        <w:t>]</w:t>
      </w:r>
      <w:r w:rsidRPr="00CC3C0D">
        <w:rPr>
          <w:rFonts w:ascii="Bookman Old Style" w:hAnsi="Bookman Old Style" w:cs="Arial"/>
          <w:sz w:val="26"/>
          <w:szCs w:val="26"/>
        </w:rPr>
        <w:t xml:space="preserve"> own interests by reason of </w:t>
      </w:r>
      <w:r w:rsidR="00E0113C" w:rsidRPr="00CC3C0D">
        <w:rPr>
          <w:rFonts w:ascii="Bookman Old Style" w:hAnsi="Bookman Old Style" w:cs="Arial"/>
          <w:sz w:val="26"/>
          <w:szCs w:val="26"/>
        </w:rPr>
        <w:t>[</w:t>
      </w:r>
      <w:r w:rsidRPr="00CC3C0D">
        <w:rPr>
          <w:rFonts w:ascii="Bookman Old Style" w:hAnsi="Bookman Old Style" w:cs="Arial"/>
          <w:sz w:val="26"/>
          <w:szCs w:val="26"/>
        </w:rPr>
        <w:t>his</w:t>
      </w:r>
      <w:r w:rsidR="00E0113C" w:rsidRPr="00CC3C0D">
        <w:rPr>
          <w:rFonts w:ascii="Bookman Old Style" w:hAnsi="Bookman Old Style" w:cs="Arial"/>
          <w:sz w:val="26"/>
          <w:szCs w:val="26"/>
        </w:rPr>
        <w:t>]</w:t>
      </w:r>
      <w:r w:rsidR="00900620" w:rsidRPr="00CC3C0D">
        <w:rPr>
          <w:rFonts w:ascii="Bookman Old Style" w:hAnsi="Bookman Old Style" w:cs="Arial"/>
          <w:sz w:val="26"/>
          <w:szCs w:val="26"/>
        </w:rPr>
        <w:t>[</w:t>
      </w:r>
      <w:r w:rsidRPr="00CC3C0D">
        <w:rPr>
          <w:rFonts w:ascii="Bookman Old Style" w:hAnsi="Bookman Old Style" w:cs="Arial"/>
          <w:sz w:val="26"/>
          <w:szCs w:val="26"/>
        </w:rPr>
        <w:t>her</w:t>
      </w:r>
      <w:r w:rsidR="00900620" w:rsidRPr="00CC3C0D">
        <w:rPr>
          <w:rFonts w:ascii="Bookman Old Style" w:hAnsi="Bookman Old Style" w:cs="Arial"/>
          <w:sz w:val="26"/>
          <w:szCs w:val="26"/>
        </w:rPr>
        <w:t>]</w:t>
      </w:r>
      <w:r w:rsidRPr="00CC3C0D">
        <w:rPr>
          <w:rFonts w:ascii="Bookman Old Style" w:hAnsi="Bookman Old Style" w:cs="Arial"/>
          <w:sz w:val="26"/>
          <w:szCs w:val="26"/>
        </w:rPr>
        <w:t xml:space="preserve"> age, physical or mental infirmities, ignorance, illiteracy, inability to understand the language of the agreement, </w:t>
      </w:r>
      <w:r w:rsidR="00900620" w:rsidRPr="00CC3C0D">
        <w:rPr>
          <w:rFonts w:ascii="Bookman Old Style" w:hAnsi="Bookman Old Style" w:cs="Arial"/>
          <w:sz w:val="26"/>
          <w:szCs w:val="26"/>
        </w:rPr>
        <w:t>or</w:t>
      </w:r>
      <w:r w:rsidRPr="00CC3C0D">
        <w:rPr>
          <w:rFonts w:ascii="Bookman Old Style" w:hAnsi="Bookman Old Style" w:cs="Arial"/>
          <w:sz w:val="26"/>
          <w:szCs w:val="26"/>
        </w:rPr>
        <w:t xml:space="preserve"> lack of sophistication.</w:t>
      </w:r>
    </w:p>
    <w:p w:rsidR="00C20FED" w:rsidRPr="00CC3C0D" w:rsidRDefault="00C20FED" w:rsidP="00335C6E">
      <w:pPr>
        <w:spacing w:line="480" w:lineRule="auto"/>
        <w:ind w:left="1440" w:hanging="720"/>
        <w:jc w:val="both"/>
        <w:rPr>
          <w:rFonts w:ascii="Bookman Old Style" w:hAnsi="Bookman Old Style" w:cs="Arial"/>
          <w:i/>
          <w:sz w:val="26"/>
          <w:szCs w:val="26"/>
        </w:rPr>
      </w:pPr>
      <w:r w:rsidRPr="00CC3C0D">
        <w:rPr>
          <w:rFonts w:ascii="Bookman Old Style" w:hAnsi="Bookman Old Style" w:cs="Arial"/>
          <w:sz w:val="26"/>
          <w:szCs w:val="26"/>
        </w:rPr>
        <w:lastRenderedPageBreak/>
        <w:t>5.</w:t>
      </w:r>
      <w:r w:rsidRPr="00CC3C0D">
        <w:rPr>
          <w:rFonts w:ascii="Bookman Old Style" w:hAnsi="Bookman Old Style" w:cs="Arial"/>
          <w:sz w:val="26"/>
          <w:szCs w:val="26"/>
        </w:rPr>
        <w:tab/>
        <w:t xml:space="preserve">Whether there was </w:t>
      </w:r>
      <w:r w:rsidR="00714F7D" w:rsidRPr="00CC3C0D">
        <w:rPr>
          <w:rFonts w:ascii="Bookman Old Style" w:hAnsi="Bookman Old Style" w:cs="Arial"/>
          <w:sz w:val="26"/>
          <w:szCs w:val="26"/>
        </w:rPr>
        <w:t>substantial</w:t>
      </w:r>
      <w:r w:rsidRPr="00CC3C0D">
        <w:rPr>
          <w:rFonts w:ascii="Bookman Old Style" w:hAnsi="Bookman Old Style" w:cs="Arial"/>
          <w:sz w:val="26"/>
          <w:szCs w:val="26"/>
        </w:rPr>
        <w:t xml:space="preserve"> disparity in bargaining power between the plaintiff and </w:t>
      </w:r>
      <w:r w:rsidR="00852A1E" w:rsidRPr="00CC3C0D">
        <w:rPr>
          <w:rFonts w:ascii="Bookman Old Style" w:hAnsi="Bookman Old Style" w:cs="Arial"/>
          <w:sz w:val="26"/>
          <w:szCs w:val="26"/>
        </w:rPr>
        <w:t>d</w:t>
      </w:r>
      <w:r w:rsidRPr="00CC3C0D">
        <w:rPr>
          <w:rFonts w:ascii="Bookman Old Style" w:hAnsi="Bookman Old Style" w:cs="Arial"/>
          <w:sz w:val="26"/>
          <w:szCs w:val="26"/>
        </w:rPr>
        <w:t>efendant</w:t>
      </w:r>
      <w:r w:rsidR="00B87BC1">
        <w:rPr>
          <w:rFonts w:ascii="Bookman Old Style" w:hAnsi="Bookman Old Style" w:cs="Arial"/>
          <w:sz w:val="26"/>
          <w:szCs w:val="26"/>
        </w:rPr>
        <w:t>[</w:t>
      </w:r>
      <w:r w:rsidR="00B87BC1" w:rsidRPr="00CC3C0D">
        <w:rPr>
          <w:rFonts w:ascii="Bookman Old Style" w:hAnsi="Bookman Old Style" w:cs="Arial"/>
          <w:sz w:val="26"/>
          <w:szCs w:val="26"/>
        </w:rPr>
        <w:t>s</w:t>
      </w:r>
      <w:r w:rsidR="00B87BC1">
        <w:rPr>
          <w:rFonts w:ascii="Bookman Old Style" w:hAnsi="Bookman Old Style" w:cs="Arial"/>
          <w:sz w:val="26"/>
          <w:szCs w:val="26"/>
        </w:rPr>
        <w:t>]</w:t>
      </w:r>
      <w:r w:rsidRPr="00CC3C0D">
        <w:rPr>
          <w:rFonts w:ascii="Bookman Old Style" w:hAnsi="Bookman Old Style" w:cs="Arial"/>
          <w:sz w:val="26"/>
          <w:szCs w:val="26"/>
        </w:rPr>
        <w:t xml:space="preserve">. </w:t>
      </w:r>
    </w:p>
    <w:p w:rsidR="00C20FED" w:rsidRPr="00CC3C0D" w:rsidRDefault="00C20FED" w:rsidP="00335C6E">
      <w:pPr>
        <w:spacing w:line="480" w:lineRule="auto"/>
        <w:ind w:left="1440" w:hanging="720"/>
        <w:jc w:val="both"/>
        <w:rPr>
          <w:rFonts w:ascii="Bookman Old Style" w:hAnsi="Bookman Old Style" w:cs="Arial"/>
          <w:sz w:val="26"/>
          <w:szCs w:val="26"/>
        </w:rPr>
      </w:pPr>
      <w:r w:rsidRPr="00CC3C0D">
        <w:rPr>
          <w:rFonts w:ascii="Bookman Old Style" w:hAnsi="Bookman Old Style" w:cs="Arial"/>
          <w:sz w:val="26"/>
          <w:szCs w:val="26"/>
        </w:rPr>
        <w:t>6.</w:t>
      </w:r>
      <w:r w:rsidRPr="00CC3C0D">
        <w:rPr>
          <w:rFonts w:ascii="Bookman Old Style" w:hAnsi="Bookman Old Style" w:cs="Arial"/>
          <w:sz w:val="26"/>
          <w:szCs w:val="26"/>
        </w:rPr>
        <w:tab/>
        <w:t xml:space="preserve">Whether the process of presenting the loan documents to the plaintiff was unfairly confusing or deceptive.  </w:t>
      </w:r>
    </w:p>
    <w:p w:rsidR="006F557A" w:rsidRDefault="006F557A" w:rsidP="00221BBF">
      <w:pPr>
        <w:spacing w:line="480" w:lineRule="auto"/>
        <w:jc w:val="both"/>
        <w:rPr>
          <w:rFonts w:ascii="Bookman Old Style" w:hAnsi="Bookman Old Style" w:cs="Arial"/>
          <w:sz w:val="26"/>
          <w:szCs w:val="26"/>
        </w:rPr>
      </w:pPr>
    </w:p>
    <w:p w:rsidR="00C20FED" w:rsidRPr="00CC3C0D" w:rsidRDefault="00C20FED" w:rsidP="00221BBF">
      <w:pPr>
        <w:spacing w:line="480" w:lineRule="auto"/>
        <w:jc w:val="both"/>
        <w:rPr>
          <w:rFonts w:ascii="Bookman Old Style" w:hAnsi="Bookman Old Style" w:cs="Arial"/>
          <w:sz w:val="26"/>
          <w:szCs w:val="26"/>
        </w:rPr>
      </w:pPr>
      <w:r w:rsidRPr="00CC3C0D">
        <w:rPr>
          <w:rFonts w:ascii="Bookman Old Style" w:hAnsi="Bookman Old Style" w:cs="Arial"/>
          <w:sz w:val="26"/>
          <w:szCs w:val="26"/>
        </w:rPr>
        <w:t xml:space="preserve">All of these factors need not be met in order for you to find </w:t>
      </w:r>
      <w:r w:rsidR="00852A1E" w:rsidRPr="00CC3C0D">
        <w:rPr>
          <w:rFonts w:ascii="Bookman Old Style" w:hAnsi="Bookman Old Style" w:cs="Arial"/>
          <w:sz w:val="26"/>
          <w:szCs w:val="26"/>
        </w:rPr>
        <w:t>the d</w:t>
      </w:r>
      <w:r w:rsidRPr="00CC3C0D">
        <w:rPr>
          <w:rFonts w:ascii="Bookman Old Style" w:hAnsi="Bookman Old Style" w:cs="Arial"/>
          <w:sz w:val="26"/>
          <w:szCs w:val="26"/>
        </w:rPr>
        <w:t>efendant</w:t>
      </w:r>
      <w:r w:rsidR="00B87BC1">
        <w:rPr>
          <w:rFonts w:ascii="Bookman Old Style" w:hAnsi="Bookman Old Style" w:cs="Arial"/>
          <w:sz w:val="26"/>
          <w:szCs w:val="26"/>
        </w:rPr>
        <w:t>[</w:t>
      </w:r>
      <w:r w:rsidR="00B87BC1" w:rsidRPr="00CC3C0D">
        <w:rPr>
          <w:rFonts w:ascii="Bookman Old Style" w:hAnsi="Bookman Old Style" w:cs="Arial"/>
          <w:sz w:val="26"/>
          <w:szCs w:val="26"/>
        </w:rPr>
        <w:t>s</w:t>
      </w:r>
      <w:r w:rsidR="00B87BC1">
        <w:rPr>
          <w:rFonts w:ascii="Bookman Old Style" w:hAnsi="Bookman Old Style" w:cs="Arial"/>
          <w:sz w:val="26"/>
          <w:szCs w:val="26"/>
        </w:rPr>
        <w:t>]</w:t>
      </w:r>
      <w:r w:rsidRPr="00CC3C0D">
        <w:rPr>
          <w:rFonts w:ascii="Bookman Old Style" w:hAnsi="Bookman Old Style" w:cs="Arial"/>
          <w:sz w:val="26"/>
          <w:szCs w:val="26"/>
        </w:rPr>
        <w:t xml:space="preserve"> </w:t>
      </w:r>
      <w:r w:rsidR="00900620" w:rsidRPr="00CC3C0D">
        <w:rPr>
          <w:rFonts w:ascii="Bookman Old Style" w:hAnsi="Bookman Old Style" w:cs="Arial"/>
          <w:sz w:val="26"/>
          <w:szCs w:val="26"/>
        </w:rPr>
        <w:t>committed an unfair or deceptive act or practice</w:t>
      </w:r>
      <w:r w:rsidRPr="00CC3C0D">
        <w:rPr>
          <w:rFonts w:ascii="Bookman Old Style" w:hAnsi="Bookman Old Style" w:cs="Arial"/>
          <w:sz w:val="26"/>
          <w:szCs w:val="26"/>
        </w:rPr>
        <w:t>.</w:t>
      </w:r>
    </w:p>
    <w:p w:rsidR="00C20FED" w:rsidRPr="00CC3C0D" w:rsidRDefault="00C20FED" w:rsidP="0058752A">
      <w:pPr>
        <w:spacing w:line="480" w:lineRule="auto"/>
        <w:ind w:firstLine="720"/>
        <w:jc w:val="both"/>
        <w:rPr>
          <w:rFonts w:ascii="Bookman Old Style" w:hAnsi="Bookman Old Style" w:cs="Arial"/>
          <w:sz w:val="26"/>
          <w:szCs w:val="26"/>
        </w:rPr>
      </w:pPr>
    </w:p>
    <w:p w:rsidR="005341DE" w:rsidRPr="00496E4E" w:rsidRDefault="005341DE" w:rsidP="005341DE">
      <w:pPr>
        <w:spacing w:line="480" w:lineRule="auto"/>
        <w:jc w:val="center"/>
        <w:rPr>
          <w:rFonts w:ascii="Bookman Old Style" w:hAnsi="Bookman Old Style"/>
          <w:sz w:val="26"/>
          <w:u w:val="single"/>
        </w:rPr>
      </w:pPr>
      <w:r w:rsidRPr="00496E4E">
        <w:rPr>
          <w:rFonts w:ascii="Bookman Old Style" w:hAnsi="Bookman Old Style"/>
          <w:sz w:val="26"/>
          <w:u w:val="single"/>
        </w:rPr>
        <w:t>Comment</w:t>
      </w:r>
    </w:p>
    <w:p w:rsidR="005341DE" w:rsidRPr="00496E4E" w:rsidRDefault="005341DE" w:rsidP="005341DE">
      <w:pPr>
        <w:jc w:val="both"/>
        <w:rPr>
          <w:rFonts w:ascii="Bookman Old Style" w:hAnsi="Bookman Old Style"/>
          <w:sz w:val="26"/>
        </w:rPr>
      </w:pPr>
      <w:r w:rsidRPr="00496E4E">
        <w:rPr>
          <w:rFonts w:ascii="Bookman Old Style" w:hAnsi="Bookman Old Style"/>
          <w:sz w:val="26"/>
        </w:rPr>
        <w:t xml:space="preserve">This instruction is patterned after a predatory mortgage lending instruction found in the </w:t>
      </w:r>
      <w:smartTag w:uri="urn:schemas-microsoft-com:office:smarttags" w:element="place">
        <w:smartTag w:uri="urn:schemas-microsoft-com:office:smarttags" w:element="PlaceName">
          <w:r w:rsidRPr="00496E4E">
            <w:rPr>
              <w:rFonts w:ascii="Bookman Old Style" w:hAnsi="Bookman Old Style"/>
              <w:sz w:val="26"/>
            </w:rPr>
            <w:t>National</w:t>
          </w:r>
        </w:smartTag>
        <w:r w:rsidRPr="00496E4E">
          <w:rPr>
            <w:rFonts w:ascii="Bookman Old Style" w:hAnsi="Bookman Old Style"/>
            <w:sz w:val="26"/>
          </w:rPr>
          <w:t xml:space="preserve"> </w:t>
        </w:r>
        <w:smartTag w:uri="urn:schemas-microsoft-com:office:smarttags" w:element="PlaceName">
          <w:r w:rsidRPr="00496E4E">
            <w:rPr>
              <w:rFonts w:ascii="Bookman Old Style" w:hAnsi="Bookman Old Style"/>
              <w:sz w:val="26"/>
            </w:rPr>
            <w:t>Consumer</w:t>
          </w:r>
        </w:smartTag>
        <w:r w:rsidRPr="00496E4E">
          <w:rPr>
            <w:rFonts w:ascii="Bookman Old Style" w:hAnsi="Bookman Old Style"/>
            <w:sz w:val="26"/>
          </w:rPr>
          <w:t xml:space="preserve"> </w:t>
        </w:r>
        <w:smartTag w:uri="urn:schemas-microsoft-com:office:smarttags" w:element="PlaceName">
          <w:r w:rsidRPr="00496E4E">
            <w:rPr>
              <w:rFonts w:ascii="Bookman Old Style" w:hAnsi="Bookman Old Style"/>
              <w:sz w:val="26"/>
            </w:rPr>
            <w:t>Law</w:t>
          </w:r>
        </w:smartTag>
        <w:r w:rsidRPr="00496E4E">
          <w:rPr>
            <w:rFonts w:ascii="Bookman Old Style" w:hAnsi="Bookman Old Style"/>
            <w:sz w:val="26"/>
          </w:rPr>
          <w:t xml:space="preserve"> </w:t>
        </w:r>
        <w:smartTag w:uri="urn:schemas-microsoft-com:office:smarttags" w:element="PlaceType">
          <w:r w:rsidRPr="00496E4E">
            <w:rPr>
              <w:rFonts w:ascii="Bookman Old Style" w:hAnsi="Bookman Old Style"/>
              <w:sz w:val="26"/>
            </w:rPr>
            <w:t>Center</w:t>
          </w:r>
        </w:smartTag>
      </w:smartTag>
      <w:r w:rsidRPr="00496E4E">
        <w:rPr>
          <w:rFonts w:ascii="Bookman Old Style" w:hAnsi="Bookman Old Style"/>
          <w:sz w:val="26"/>
        </w:rPr>
        <w:t xml:space="preserve"> (“NCLC”) Manual on Deceptive and Unfair Trade Practices, Fifth Edition, at appendix G.2.  No </w:t>
      </w:r>
      <w:smartTag w:uri="urn:schemas-microsoft-com:office:smarttags" w:element="State">
        <w:smartTag w:uri="urn:schemas-microsoft-com:office:smarttags" w:element="place">
          <w:r w:rsidRPr="00496E4E">
            <w:rPr>
              <w:rFonts w:ascii="Bookman Old Style" w:hAnsi="Bookman Old Style"/>
              <w:sz w:val="26"/>
            </w:rPr>
            <w:t>Alaska</w:t>
          </w:r>
        </w:smartTag>
      </w:smartTag>
      <w:r w:rsidRPr="00496E4E">
        <w:rPr>
          <w:rFonts w:ascii="Bookman Old Style" w:hAnsi="Bookman Old Style"/>
          <w:sz w:val="26"/>
        </w:rPr>
        <w:t xml:space="preserve"> case has addressed the elements of a predatory lending claim.  Until recently, it was unclear whether a “loan” fell within the definition of “goods or services” for purposes of </w:t>
      </w:r>
      <w:smartTag w:uri="urn:schemas-microsoft-com:office:smarttags" w:element="State">
        <w:smartTag w:uri="urn:schemas-microsoft-com:office:smarttags" w:element="place">
          <w:r w:rsidRPr="00496E4E">
            <w:rPr>
              <w:rFonts w:ascii="Bookman Old Style" w:hAnsi="Bookman Old Style"/>
              <w:sz w:val="26"/>
            </w:rPr>
            <w:t>Alaska</w:t>
          </w:r>
        </w:smartTag>
      </w:smartTag>
      <w:r w:rsidRPr="00496E4E">
        <w:rPr>
          <w:rFonts w:ascii="Bookman Old Style" w:hAnsi="Bookman Old Style"/>
          <w:sz w:val="26"/>
        </w:rPr>
        <w:t xml:space="preserve">’s Consumer Protection Act, AS 45.50.471.  Recent amendments to the Act clarify that loans secured by a person’s residence are covered by the Act.  </w:t>
      </w:r>
      <w:r w:rsidRPr="00496E4E">
        <w:rPr>
          <w:rFonts w:ascii="Bookman Old Style" w:hAnsi="Bookman Old Style"/>
          <w:i/>
          <w:sz w:val="26"/>
        </w:rPr>
        <w:t>See</w:t>
      </w:r>
      <w:r w:rsidRPr="00496E4E">
        <w:rPr>
          <w:rFonts w:ascii="Bookman Old Style" w:hAnsi="Bookman Old Style"/>
          <w:sz w:val="26"/>
        </w:rPr>
        <w:t xml:space="preserve"> AS 45.50.561(a)(9).  Thus, most predatory lending claims can be brought under AS 45.50.471(a) or one or more of the provisions of AS 45.50.471(b).  Still, this instruction provides the jury with information specific to predatory lending practices.  Some examples of typical predatory lending conduct include:</w:t>
      </w:r>
    </w:p>
    <w:p w:rsidR="005341DE" w:rsidRDefault="005341DE" w:rsidP="005341DE">
      <w:pPr>
        <w:ind w:firstLine="720"/>
        <w:jc w:val="both"/>
        <w:rPr>
          <w:rFonts w:ascii="Bookman Old Style" w:hAnsi="Bookman Old Style"/>
          <w:sz w:val="26"/>
        </w:rPr>
      </w:pPr>
    </w:p>
    <w:p w:rsidR="005341DE" w:rsidRPr="00496E4E" w:rsidRDefault="005341DE" w:rsidP="005341DE">
      <w:pPr>
        <w:ind w:firstLine="720"/>
        <w:jc w:val="both"/>
        <w:rPr>
          <w:rFonts w:ascii="Bookman Old Style" w:hAnsi="Bookman Old Style"/>
          <w:sz w:val="26"/>
        </w:rPr>
      </w:pPr>
      <w:r w:rsidRPr="00496E4E">
        <w:rPr>
          <w:rFonts w:ascii="Bookman Old Style" w:hAnsi="Bookman Old Style"/>
          <w:sz w:val="26"/>
        </w:rPr>
        <w:t>1.</w:t>
      </w:r>
      <w:r w:rsidRPr="00496E4E">
        <w:rPr>
          <w:rFonts w:ascii="Bookman Old Style" w:hAnsi="Bookman Old Style"/>
          <w:sz w:val="26"/>
        </w:rPr>
        <w:tab/>
        <w:t>Repeated solicitation of existing borrowers to enter into new loan agreements notwithstanding prior refusals;</w:t>
      </w:r>
    </w:p>
    <w:p w:rsidR="005341DE" w:rsidRPr="00496E4E" w:rsidRDefault="005341DE" w:rsidP="005341DE">
      <w:pPr>
        <w:ind w:firstLine="720"/>
        <w:jc w:val="both"/>
        <w:rPr>
          <w:rFonts w:ascii="Bookman Old Style" w:hAnsi="Bookman Old Style"/>
          <w:sz w:val="26"/>
        </w:rPr>
      </w:pPr>
      <w:r w:rsidRPr="00496E4E">
        <w:rPr>
          <w:rFonts w:ascii="Bookman Old Style" w:hAnsi="Bookman Old Style"/>
          <w:sz w:val="26"/>
        </w:rPr>
        <w:t>2.</w:t>
      </w:r>
      <w:r w:rsidRPr="00496E4E">
        <w:rPr>
          <w:rFonts w:ascii="Bookman Old Style" w:hAnsi="Bookman Old Style"/>
          <w:sz w:val="26"/>
        </w:rPr>
        <w:tab/>
        <w:t>Changing refinance terms at the last minute;</w:t>
      </w:r>
    </w:p>
    <w:p w:rsidR="005341DE" w:rsidRPr="00496E4E" w:rsidRDefault="005341DE" w:rsidP="005341DE">
      <w:pPr>
        <w:ind w:firstLine="720"/>
        <w:jc w:val="both"/>
        <w:rPr>
          <w:rFonts w:ascii="Bookman Old Style" w:hAnsi="Bookman Old Style"/>
          <w:sz w:val="26"/>
        </w:rPr>
      </w:pPr>
      <w:r w:rsidRPr="00496E4E">
        <w:rPr>
          <w:rFonts w:ascii="Bookman Old Style" w:hAnsi="Bookman Old Style"/>
          <w:sz w:val="26"/>
        </w:rPr>
        <w:t>3.</w:t>
      </w:r>
      <w:r w:rsidRPr="00496E4E">
        <w:rPr>
          <w:rFonts w:ascii="Bookman Old Style" w:hAnsi="Bookman Old Style"/>
          <w:sz w:val="26"/>
        </w:rPr>
        <w:tab/>
        <w:t>Misleading the borrower about the benefits of refinancing by comparing monthly payments on loans with greatly different repayment periods without disclosing the extra costs associated with a longer term loan;</w:t>
      </w:r>
    </w:p>
    <w:p w:rsidR="005341DE" w:rsidRPr="00496E4E" w:rsidRDefault="005341DE" w:rsidP="005341DE">
      <w:pPr>
        <w:ind w:firstLine="720"/>
        <w:jc w:val="both"/>
        <w:rPr>
          <w:rFonts w:ascii="Bookman Old Style" w:hAnsi="Bookman Old Style"/>
          <w:sz w:val="26"/>
        </w:rPr>
      </w:pPr>
      <w:r w:rsidRPr="00496E4E">
        <w:rPr>
          <w:rFonts w:ascii="Bookman Old Style" w:hAnsi="Bookman Old Style"/>
          <w:sz w:val="26"/>
        </w:rPr>
        <w:t>4.</w:t>
      </w:r>
      <w:r w:rsidRPr="00496E4E">
        <w:rPr>
          <w:rFonts w:ascii="Bookman Old Style" w:hAnsi="Bookman Old Style"/>
          <w:sz w:val="26"/>
        </w:rPr>
        <w:tab/>
        <w:t xml:space="preserve">Failing to clearly disclose that regular loan payments are “interest only” and the associated terms and conditions which usually include a balloon payment of the entire principal at the end of the loan term; </w:t>
      </w:r>
    </w:p>
    <w:p w:rsidR="005341DE" w:rsidRPr="00496E4E" w:rsidRDefault="005341DE" w:rsidP="005341DE">
      <w:pPr>
        <w:ind w:firstLine="720"/>
        <w:jc w:val="both"/>
        <w:rPr>
          <w:rFonts w:ascii="Bookman Old Style" w:hAnsi="Bookman Old Style"/>
          <w:sz w:val="26"/>
        </w:rPr>
      </w:pPr>
      <w:r w:rsidRPr="00496E4E">
        <w:rPr>
          <w:rFonts w:ascii="Bookman Old Style" w:hAnsi="Bookman Old Style"/>
          <w:sz w:val="26"/>
        </w:rPr>
        <w:t>5.</w:t>
      </w:r>
      <w:r w:rsidRPr="00496E4E">
        <w:rPr>
          <w:rFonts w:ascii="Bookman Old Style" w:hAnsi="Bookman Old Style"/>
          <w:sz w:val="26"/>
        </w:rPr>
        <w:tab/>
        <w:t>Sending unsolicited “draft loans” or “live checks” to entice consumers to enter a lending relationship by depositing the check or draft;</w:t>
      </w:r>
    </w:p>
    <w:p w:rsidR="005341DE" w:rsidRPr="00496E4E" w:rsidRDefault="005341DE" w:rsidP="005341DE">
      <w:pPr>
        <w:ind w:firstLine="720"/>
        <w:jc w:val="both"/>
        <w:rPr>
          <w:rFonts w:ascii="Bookman Old Style" w:hAnsi="Bookman Old Style"/>
          <w:sz w:val="26"/>
        </w:rPr>
      </w:pPr>
      <w:r w:rsidRPr="00496E4E">
        <w:rPr>
          <w:rFonts w:ascii="Bookman Old Style" w:hAnsi="Bookman Old Style"/>
          <w:sz w:val="26"/>
        </w:rPr>
        <w:t>6.</w:t>
      </w:r>
      <w:r w:rsidRPr="00496E4E">
        <w:rPr>
          <w:rFonts w:ascii="Bookman Old Style" w:hAnsi="Bookman Old Style"/>
          <w:sz w:val="26"/>
        </w:rPr>
        <w:tab/>
        <w:t>“Upselling” borrowers to larger loans and/or loans secured by their homes by refinancing smaller, unsecured personal loans;</w:t>
      </w:r>
    </w:p>
    <w:p w:rsidR="005341DE" w:rsidRPr="00496E4E" w:rsidRDefault="005341DE" w:rsidP="005341DE">
      <w:pPr>
        <w:ind w:firstLine="720"/>
        <w:jc w:val="both"/>
        <w:rPr>
          <w:rFonts w:ascii="Bookman Old Style" w:hAnsi="Bookman Old Style"/>
          <w:sz w:val="26"/>
        </w:rPr>
      </w:pPr>
      <w:r w:rsidRPr="00496E4E">
        <w:rPr>
          <w:rFonts w:ascii="Bookman Old Style" w:hAnsi="Bookman Old Style"/>
          <w:sz w:val="26"/>
        </w:rPr>
        <w:t>7.</w:t>
      </w:r>
      <w:r w:rsidRPr="00496E4E">
        <w:rPr>
          <w:rFonts w:ascii="Bookman Old Style" w:hAnsi="Bookman Old Style"/>
          <w:sz w:val="26"/>
        </w:rPr>
        <w:tab/>
        <w:t>Using deceptive and high-pressure sales tactics to keep borrowers from reading or understanding the loan agreements.</w:t>
      </w:r>
    </w:p>
    <w:p w:rsidR="005341DE" w:rsidRPr="00496E4E" w:rsidRDefault="005341DE" w:rsidP="005341DE">
      <w:pPr>
        <w:ind w:firstLine="720"/>
        <w:jc w:val="both"/>
        <w:rPr>
          <w:rFonts w:ascii="Bookman Old Style" w:hAnsi="Bookman Old Style"/>
          <w:sz w:val="26"/>
        </w:rPr>
      </w:pPr>
    </w:p>
    <w:p w:rsidR="005341DE" w:rsidRPr="00496E4E" w:rsidRDefault="005341DE" w:rsidP="005341DE">
      <w:pPr>
        <w:jc w:val="both"/>
        <w:rPr>
          <w:rFonts w:ascii="Bookman Old Style" w:hAnsi="Bookman Old Style"/>
          <w:sz w:val="26"/>
        </w:rPr>
      </w:pPr>
      <w:r w:rsidRPr="00496E4E">
        <w:rPr>
          <w:rFonts w:ascii="Bookman Old Style" w:hAnsi="Bookman Old Style"/>
          <w:sz w:val="26"/>
        </w:rPr>
        <w:t>As a result of these tactics, plaintiffs typically allege that a lender falsely represented that customers could save money by consolidating debts; that they could pay off current debts with a home equity loan for the same amount when in fact the new loan contains undisclosed costs and fees; or that insurance, interest rates, or other terms were not adequately disclosed.  The Home Ownership and Equity Protection Act (“HOPEA”), which is part of the Truth in Lending Act (“TILA”), 15 U.S.C. § 1601, provides special protections for consumers in certain non-purchase, high-cost loans secured by their homes.</w:t>
      </w:r>
      <w:r w:rsidRPr="00496E4E">
        <w:rPr>
          <w:rFonts w:ascii="Bookman Old Style" w:hAnsi="Bookman Old Style"/>
          <w:sz w:val="26"/>
          <w:szCs w:val="26"/>
        </w:rPr>
        <w:t xml:space="preserve">  </w:t>
      </w:r>
      <w:r w:rsidRPr="00496E4E">
        <w:rPr>
          <w:rStyle w:val="documentbody1"/>
          <w:rFonts w:ascii="Bookman Old Style" w:hAnsi="Bookman Old Style"/>
          <w:color w:val="000000"/>
          <w:sz w:val="26"/>
          <w:szCs w:val="26"/>
        </w:rPr>
        <w:t xml:space="preserve">Under </w:t>
      </w:r>
      <w:bookmarkStart w:id="1" w:name="SearchTerm"/>
      <w:bookmarkStart w:id="2" w:name="SR;1946"/>
      <w:bookmarkEnd w:id="2"/>
      <w:r w:rsidRPr="00496E4E">
        <w:rPr>
          <w:rStyle w:val="documentbody1"/>
          <w:rFonts w:ascii="Bookman Old Style" w:hAnsi="Bookman Old Style"/>
          <w:color w:val="000000"/>
          <w:sz w:val="26"/>
          <w:szCs w:val="26"/>
        </w:rPr>
        <w:t xml:space="preserve">TILA, lenders are required to disclose all charges associated with the loan, </w:t>
      </w:r>
      <w:r w:rsidRPr="00496E4E">
        <w:rPr>
          <w:rStyle w:val="documentbody1"/>
          <w:rFonts w:ascii="Bookman Old Style" w:hAnsi="Bookman Old Style"/>
          <w:i/>
          <w:iCs/>
          <w:color w:val="000000"/>
          <w:sz w:val="26"/>
          <w:szCs w:val="26"/>
        </w:rPr>
        <w:t>see</w:t>
      </w:r>
      <w:r w:rsidRPr="00496E4E">
        <w:rPr>
          <w:rStyle w:val="documentbody1"/>
          <w:rFonts w:ascii="Bookman Old Style" w:hAnsi="Bookman Old Style"/>
          <w:color w:val="000000"/>
          <w:sz w:val="26"/>
          <w:szCs w:val="26"/>
        </w:rPr>
        <w:t xml:space="preserve"> 15 U.S.C. § 1601 </w:t>
      </w:r>
      <w:r w:rsidRPr="00496E4E">
        <w:rPr>
          <w:rStyle w:val="documentbody1"/>
          <w:rFonts w:ascii="Bookman Old Style" w:hAnsi="Bookman Old Style"/>
          <w:i/>
          <w:iCs/>
          <w:color w:val="000000"/>
          <w:sz w:val="26"/>
          <w:szCs w:val="26"/>
        </w:rPr>
        <w:t>et</w:t>
      </w:r>
      <w:r w:rsidRPr="00496E4E">
        <w:rPr>
          <w:rStyle w:val="documentbody1"/>
          <w:rFonts w:ascii="Bookman Old Style" w:hAnsi="Bookman Old Style"/>
          <w:color w:val="000000"/>
          <w:sz w:val="26"/>
          <w:szCs w:val="26"/>
        </w:rPr>
        <w:t xml:space="preserve"> </w:t>
      </w:r>
      <w:r w:rsidRPr="00496E4E">
        <w:rPr>
          <w:rStyle w:val="documentbody1"/>
          <w:rFonts w:ascii="Bookman Old Style" w:hAnsi="Bookman Old Style"/>
          <w:i/>
          <w:iCs/>
          <w:color w:val="000000"/>
          <w:sz w:val="26"/>
          <w:szCs w:val="26"/>
        </w:rPr>
        <w:t>seq.,</w:t>
      </w:r>
      <w:r w:rsidRPr="00496E4E">
        <w:rPr>
          <w:rStyle w:val="documentbody1"/>
          <w:rFonts w:ascii="Bookman Old Style" w:hAnsi="Bookman Old Style"/>
          <w:color w:val="000000"/>
          <w:sz w:val="26"/>
          <w:szCs w:val="26"/>
        </w:rPr>
        <w:t xml:space="preserve"> and in the case of nondisclosure of such information, TILA provides a federal cause of action against creditors who engage in such </w:t>
      </w:r>
      <w:bookmarkEnd w:id="1"/>
      <w:r w:rsidRPr="00496E4E">
        <w:rPr>
          <w:rStyle w:val="documentbody1"/>
          <w:rFonts w:ascii="Bookman Old Style" w:hAnsi="Bookman Old Style"/>
          <w:color w:val="000000"/>
          <w:sz w:val="26"/>
          <w:szCs w:val="26"/>
        </w:rPr>
        <w:t xml:space="preserve">“predatory lending tactics.” </w:t>
      </w:r>
      <w:r w:rsidRPr="00496E4E">
        <w:rPr>
          <w:rStyle w:val="documentbody1"/>
          <w:rFonts w:ascii="Bookman Old Style" w:hAnsi="Bookman Old Style"/>
          <w:i/>
          <w:iCs/>
          <w:color w:val="000000"/>
          <w:sz w:val="26"/>
          <w:szCs w:val="26"/>
        </w:rPr>
        <w:t>See</w:t>
      </w:r>
      <w:r w:rsidRPr="00496E4E">
        <w:rPr>
          <w:rStyle w:val="documentbody1"/>
          <w:rFonts w:ascii="Bookman Old Style" w:hAnsi="Bookman Old Style"/>
          <w:color w:val="000000"/>
          <w:sz w:val="26"/>
          <w:szCs w:val="26"/>
        </w:rPr>
        <w:t xml:space="preserve"> </w:t>
      </w:r>
      <w:hyperlink r:id="rId8" w:tgtFrame="_top" w:history="1">
        <w:r w:rsidRPr="00496E4E">
          <w:rPr>
            <w:rStyle w:val="Hyperlink"/>
            <w:rFonts w:ascii="Bookman Old Style" w:hAnsi="Bookman Old Style"/>
            <w:i/>
            <w:iCs/>
            <w:sz w:val="26"/>
            <w:szCs w:val="26"/>
          </w:rPr>
          <w:t>Cooper v. First Gov't Mortgage and Investors Corp.,</w:t>
        </w:r>
        <w:r w:rsidRPr="00496E4E">
          <w:rPr>
            <w:rStyle w:val="Hyperlink"/>
            <w:rFonts w:ascii="Bookman Old Style" w:hAnsi="Bookman Old Style"/>
            <w:sz w:val="26"/>
            <w:szCs w:val="26"/>
          </w:rPr>
          <w:t xml:space="preserve"> 238 F.Supp.2d 50, 55 (D.D.C. 2002)</w:t>
        </w:r>
      </w:hyperlink>
      <w:r w:rsidRPr="00496E4E">
        <w:rPr>
          <w:rStyle w:val="documentbody1"/>
          <w:rFonts w:ascii="Bookman Old Style" w:hAnsi="Bookman Old Style"/>
          <w:color w:val="000000"/>
          <w:sz w:val="26"/>
          <w:szCs w:val="26"/>
        </w:rPr>
        <w:t>.</w:t>
      </w:r>
    </w:p>
    <w:p w:rsidR="005341DE" w:rsidRPr="00496E4E" w:rsidRDefault="005341DE" w:rsidP="005341DE">
      <w:pPr>
        <w:ind w:firstLine="720"/>
        <w:jc w:val="both"/>
        <w:rPr>
          <w:rFonts w:ascii="Bookman Old Style" w:hAnsi="Bookman Old Style"/>
          <w:sz w:val="26"/>
        </w:rPr>
      </w:pPr>
    </w:p>
    <w:p w:rsidR="005341DE" w:rsidRPr="00496E4E" w:rsidRDefault="005341DE" w:rsidP="005341DE">
      <w:pPr>
        <w:jc w:val="both"/>
        <w:rPr>
          <w:rFonts w:ascii="Bookman Old Style" w:hAnsi="Bookman Old Style"/>
          <w:sz w:val="26"/>
        </w:rPr>
      </w:pPr>
      <w:r w:rsidRPr="00496E4E">
        <w:rPr>
          <w:rFonts w:ascii="Bookman Old Style" w:hAnsi="Bookman Old Style"/>
          <w:sz w:val="26"/>
        </w:rPr>
        <w:t xml:space="preserve">This instruction captures the primary factors that courts have considered when evaluating predatory lending claims under state and federal statutes. It can be used in conjunction with </w:t>
      </w:r>
      <w:r w:rsidR="00B87BC1">
        <w:rPr>
          <w:rFonts w:ascii="Bookman Old Style" w:hAnsi="Bookman Old Style"/>
          <w:sz w:val="26"/>
        </w:rPr>
        <w:t>10.0</w:t>
      </w:r>
      <w:r w:rsidRPr="00496E4E">
        <w:rPr>
          <w:rFonts w:ascii="Bookman Old Style" w:hAnsi="Bookman Old Style"/>
          <w:sz w:val="26"/>
        </w:rPr>
        <w:t xml:space="preserve">1A or </w:t>
      </w:r>
      <w:r w:rsidR="00B87BC1">
        <w:rPr>
          <w:rFonts w:ascii="Bookman Old Style" w:hAnsi="Bookman Old Style"/>
          <w:sz w:val="26"/>
        </w:rPr>
        <w:t>10.0</w:t>
      </w:r>
      <w:r w:rsidRPr="00496E4E">
        <w:rPr>
          <w:rFonts w:ascii="Bookman Old Style" w:hAnsi="Bookman Old Style"/>
          <w:sz w:val="26"/>
        </w:rPr>
        <w:t>1B when predatory lending is alleged.</w:t>
      </w:r>
    </w:p>
    <w:p w:rsidR="005341DE" w:rsidRPr="00496E4E" w:rsidRDefault="005341DE" w:rsidP="005341DE">
      <w:pPr>
        <w:jc w:val="both"/>
        <w:rPr>
          <w:rFonts w:ascii="Bookman Old Style" w:hAnsi="Bookman Old Style"/>
        </w:rPr>
      </w:pPr>
    </w:p>
    <w:p w:rsidR="005341DE" w:rsidRPr="00221BBF" w:rsidRDefault="005341DE" w:rsidP="005341DE">
      <w:pPr>
        <w:spacing w:line="480" w:lineRule="auto"/>
        <w:rPr>
          <w:rFonts w:ascii="Bookman Old Style" w:hAnsi="Bookman Old Style" w:cs="Arial"/>
          <w:sz w:val="26"/>
          <w:szCs w:val="26"/>
          <w:u w:val="single"/>
        </w:rPr>
      </w:pPr>
    </w:p>
    <w:sectPr w:rsidR="005341DE" w:rsidRPr="00221BBF" w:rsidSect="005C2DF4">
      <w:footerReference w:type="default" r:id="rId9"/>
      <w:endnotePr>
        <w:numFmt w:val="decimal"/>
      </w:endnotePr>
      <w:pgSz w:w="12240" w:h="15840"/>
      <w:pgMar w:top="1440" w:right="1440" w:bottom="1440" w:left="1440" w:header="1440" w:footer="61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36CE">
      <w:r>
        <w:separator/>
      </w:r>
    </w:p>
  </w:endnote>
  <w:endnote w:type="continuationSeparator" w:id="0">
    <w:p w:rsidR="00000000" w:rsidRDefault="0069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8A1" w:rsidRPr="00670236" w:rsidRDefault="006C18A1" w:rsidP="00B87BC1">
    <w:pPr>
      <w:pStyle w:val="Footer"/>
      <w:tabs>
        <w:tab w:val="clear" w:pos="8640"/>
        <w:tab w:val="right" w:pos="9360"/>
      </w:tabs>
      <w:rPr>
        <w:rFonts w:ascii="Bookman Old Style" w:hAnsi="Bookman Old Style" w:cs="Arial"/>
        <w:sz w:val="26"/>
        <w:szCs w:val="26"/>
      </w:rPr>
    </w:pPr>
    <w:r>
      <w:rPr>
        <w:rFonts w:ascii="Bookman Old Style" w:hAnsi="Bookman Old Style" w:cs="Arial"/>
        <w:sz w:val="26"/>
        <w:szCs w:val="26"/>
      </w:rPr>
      <w:t xml:space="preserve">Added </w:t>
    </w:r>
    <w:r w:rsidRPr="00670236">
      <w:rPr>
        <w:rFonts w:ascii="Bookman Old Style" w:hAnsi="Bookman Old Style" w:cs="Arial"/>
        <w:sz w:val="26"/>
        <w:szCs w:val="26"/>
      </w:rPr>
      <w:t>2005</w:t>
    </w:r>
    <w:r w:rsidRPr="00670236">
      <w:rPr>
        <w:rFonts w:ascii="Bookman Old Style" w:hAnsi="Bookman Old Style" w:cs="Arial"/>
        <w:sz w:val="26"/>
        <w:szCs w:val="26"/>
      </w:rPr>
      <w:tab/>
    </w:r>
    <w:r w:rsidRPr="00670236">
      <w:rPr>
        <w:rFonts w:ascii="Bookman Old Style" w:hAnsi="Bookman Old Style" w:cs="Arial"/>
        <w:sz w:val="26"/>
        <w:szCs w:val="26"/>
      </w:rPr>
      <w:tab/>
      <w:t>10.0</w:t>
    </w:r>
    <w:r>
      <w:rPr>
        <w:rFonts w:ascii="Bookman Old Style" w:hAnsi="Bookman Old Style" w:cs="Arial"/>
        <w:sz w:val="26"/>
        <w:szCs w:val="26"/>
      </w:rPr>
      <w:t>7</w:t>
    </w:r>
    <w:r w:rsidRPr="00670236">
      <w:rPr>
        <w:rFonts w:ascii="Bookman Old Style" w:hAnsi="Bookman Old Style" w:cs="Arial"/>
        <w:sz w:val="26"/>
        <w:szCs w:val="26"/>
      </w:rPr>
      <w:t xml:space="preserve"> - </w:t>
    </w:r>
    <w:r w:rsidRPr="00670236">
      <w:rPr>
        <w:rStyle w:val="PageNumber"/>
        <w:rFonts w:ascii="Bookman Old Style" w:hAnsi="Bookman Old Style" w:cs="Arial"/>
        <w:sz w:val="26"/>
        <w:szCs w:val="26"/>
      </w:rPr>
      <w:fldChar w:fldCharType="begin"/>
    </w:r>
    <w:r w:rsidRPr="00670236">
      <w:rPr>
        <w:rStyle w:val="PageNumber"/>
        <w:rFonts w:ascii="Bookman Old Style" w:hAnsi="Bookman Old Style" w:cs="Arial"/>
        <w:sz w:val="26"/>
        <w:szCs w:val="26"/>
      </w:rPr>
      <w:instrText xml:space="preserve"> PAGE </w:instrText>
    </w:r>
    <w:r w:rsidRPr="00670236">
      <w:rPr>
        <w:rStyle w:val="PageNumber"/>
        <w:rFonts w:ascii="Bookman Old Style" w:hAnsi="Bookman Old Style" w:cs="Arial"/>
        <w:sz w:val="26"/>
        <w:szCs w:val="26"/>
      </w:rPr>
      <w:fldChar w:fldCharType="separate"/>
    </w:r>
    <w:r w:rsidR="007546AD">
      <w:rPr>
        <w:rStyle w:val="PageNumber"/>
        <w:rFonts w:ascii="Bookman Old Style" w:hAnsi="Bookman Old Style" w:cs="Arial"/>
        <w:noProof/>
        <w:sz w:val="26"/>
        <w:szCs w:val="26"/>
      </w:rPr>
      <w:t>1</w:t>
    </w:r>
    <w:r w:rsidRPr="00670236">
      <w:rPr>
        <w:rStyle w:val="PageNumber"/>
        <w:rFonts w:ascii="Bookman Old Style" w:hAnsi="Bookman Old Style" w:cs="Arial"/>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36CE">
      <w:r>
        <w:separator/>
      </w:r>
    </w:p>
  </w:footnote>
  <w:footnote w:type="continuationSeparator" w:id="0">
    <w:p w:rsidR="00000000" w:rsidRDefault="00693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5"/>
    <w:multiLevelType w:val="multilevel"/>
    <w:tmpl w:val="00000000"/>
    <w:name w:val="AutoList1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7"/>
    <w:multiLevelType w:val="multilevel"/>
    <w:tmpl w:val="00000000"/>
    <w:name w:val="AutoList1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nsid w:val="00000008"/>
    <w:multiLevelType w:val="multilevel"/>
    <w:tmpl w:val="00000000"/>
    <w:name w:val="AutoList1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nsid w:val="00000009"/>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A"/>
    <w:multiLevelType w:val="multilevel"/>
    <w:tmpl w:val="00000000"/>
    <w:name w:val="AutoList1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num w:numId="1">
    <w:abstractNumId w:val="0"/>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1"/>
      <w:lvl w:ilvl="0">
        <w:start w:val="1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2"/>
    <w:lvlOverride w:ilvl="0">
      <w:startOverride w:val="6"/>
      <w:lvl w:ilvl="0">
        <w:start w:val="6"/>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3"/>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abstractNumId w:val="4"/>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5"/>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2B"/>
    <w:rsid w:val="00004FDE"/>
    <w:rsid w:val="0005512B"/>
    <w:rsid w:val="000A5160"/>
    <w:rsid w:val="000F79F5"/>
    <w:rsid w:val="00143C0E"/>
    <w:rsid w:val="00160BBC"/>
    <w:rsid w:val="001B572F"/>
    <w:rsid w:val="00221BBF"/>
    <w:rsid w:val="00227886"/>
    <w:rsid w:val="002326E8"/>
    <w:rsid w:val="0027496B"/>
    <w:rsid w:val="002A4F07"/>
    <w:rsid w:val="00335C6E"/>
    <w:rsid w:val="00364D61"/>
    <w:rsid w:val="00372769"/>
    <w:rsid w:val="003A214C"/>
    <w:rsid w:val="003A2717"/>
    <w:rsid w:val="00402AE1"/>
    <w:rsid w:val="004312AF"/>
    <w:rsid w:val="00456231"/>
    <w:rsid w:val="005341DE"/>
    <w:rsid w:val="00554CEE"/>
    <w:rsid w:val="00564A09"/>
    <w:rsid w:val="00580526"/>
    <w:rsid w:val="0058752A"/>
    <w:rsid w:val="005C2DF4"/>
    <w:rsid w:val="006050D9"/>
    <w:rsid w:val="00607FC0"/>
    <w:rsid w:val="00626F5C"/>
    <w:rsid w:val="006552AC"/>
    <w:rsid w:val="00670236"/>
    <w:rsid w:val="006936CE"/>
    <w:rsid w:val="006A60C5"/>
    <w:rsid w:val="006A6313"/>
    <w:rsid w:val="006C18A1"/>
    <w:rsid w:val="006C71CB"/>
    <w:rsid w:val="006E08CD"/>
    <w:rsid w:val="006F557A"/>
    <w:rsid w:val="00714F7D"/>
    <w:rsid w:val="0072029E"/>
    <w:rsid w:val="007310CB"/>
    <w:rsid w:val="00751FE1"/>
    <w:rsid w:val="007546AD"/>
    <w:rsid w:val="007C1642"/>
    <w:rsid w:val="007F186B"/>
    <w:rsid w:val="00803355"/>
    <w:rsid w:val="00812789"/>
    <w:rsid w:val="00846EAF"/>
    <w:rsid w:val="00852A1E"/>
    <w:rsid w:val="00900620"/>
    <w:rsid w:val="009049A1"/>
    <w:rsid w:val="00971857"/>
    <w:rsid w:val="009C5A2F"/>
    <w:rsid w:val="00AD69AD"/>
    <w:rsid w:val="00B30983"/>
    <w:rsid w:val="00B42C89"/>
    <w:rsid w:val="00B87BC1"/>
    <w:rsid w:val="00B92BAF"/>
    <w:rsid w:val="00B96365"/>
    <w:rsid w:val="00BE5F1E"/>
    <w:rsid w:val="00C20594"/>
    <w:rsid w:val="00C20FED"/>
    <w:rsid w:val="00CC3C0D"/>
    <w:rsid w:val="00D244FB"/>
    <w:rsid w:val="00DB5A76"/>
    <w:rsid w:val="00DD3A7D"/>
    <w:rsid w:val="00E0113C"/>
    <w:rsid w:val="00E07E76"/>
    <w:rsid w:val="00E272D3"/>
    <w:rsid w:val="00E3521D"/>
    <w:rsid w:val="00E94B7C"/>
    <w:rsid w:val="00E97698"/>
    <w:rsid w:val="00F551FE"/>
    <w:rsid w:val="00F70C11"/>
    <w:rsid w:val="00FE72D8"/>
    <w:rsid w:val="00FF365A"/>
    <w:rsid w:val="00FF530D"/>
    <w:rsid w:val="00FF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autoSpaceDE w:val="0"/>
      <w:autoSpaceDN w:val="0"/>
      <w:adjustRightInd w:val="0"/>
      <w:jc w:val="center"/>
      <w:outlineLvl w:val="0"/>
    </w:pPr>
    <w:rPr>
      <w:rFonts w:ascii="Courier New" w:hAnsi="Courier New"/>
      <w:b/>
      <w:snapToGri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center">
    <w:name w:val="center"/>
    <w:basedOn w:val="Normal"/>
    <w:pPr>
      <w:keepLines/>
      <w:widowControl/>
      <w:spacing w:before="240" w:line="240" w:lineRule="atLeast"/>
      <w:jc w:val="center"/>
    </w:pPr>
    <w:rPr>
      <w:snapToGrid/>
      <w:sz w:val="26"/>
    </w:rPr>
  </w:style>
  <w:style w:type="character" w:styleId="Strong">
    <w:name w:val="Strong"/>
    <w:basedOn w:val="DefaultParagraphFont"/>
    <w:qFormat/>
    <w:rPr>
      <w:b/>
    </w:rPr>
  </w:style>
  <w:style w:type="character" w:styleId="Hyperlink">
    <w:name w:val="Hyperlink"/>
    <w:basedOn w:val="DefaultParagraphFont"/>
    <w:rPr>
      <w:color w:val="0000FF"/>
      <w:u w:val="single"/>
    </w:rPr>
  </w:style>
  <w:style w:type="paragraph" w:customStyle="1" w:styleId="Level1">
    <w:name w:val="Level 1"/>
    <w:basedOn w:val="Normal"/>
    <w:pPr>
      <w:numPr>
        <w:numId w:val="7"/>
      </w:numPr>
      <w:autoSpaceDE w:val="0"/>
      <w:autoSpaceDN w:val="0"/>
      <w:adjustRightInd w:val="0"/>
      <w:ind w:left="1440" w:hanging="720"/>
      <w:outlineLvl w:val="0"/>
    </w:pPr>
    <w:rPr>
      <w:snapToGrid/>
    </w:rPr>
  </w:style>
  <w:style w:type="paragraph" w:styleId="Header">
    <w:name w:val="header"/>
    <w:basedOn w:val="Normal"/>
    <w:pPr>
      <w:tabs>
        <w:tab w:val="center" w:pos="4320"/>
        <w:tab w:val="right" w:pos="8640"/>
      </w:tabs>
      <w:autoSpaceDE w:val="0"/>
      <w:autoSpaceDN w:val="0"/>
      <w:adjustRightInd w:val="0"/>
    </w:pPr>
    <w:rPr>
      <w:snapToGrid/>
    </w:rPr>
  </w:style>
  <w:style w:type="paragraph" w:styleId="BodyTextIndent">
    <w:name w:val="Body Text Indent"/>
    <w:basedOn w:val="Normal"/>
    <w:pPr>
      <w:autoSpaceDE w:val="0"/>
      <w:autoSpaceDN w:val="0"/>
      <w:adjustRightInd w:val="0"/>
      <w:ind w:firstLine="720"/>
    </w:pPr>
    <w:rPr>
      <w:rFonts w:ascii="Courier New" w:hAnsi="Courier New"/>
      <w:b/>
      <w:snapToGrid/>
    </w:rPr>
  </w:style>
  <w:style w:type="paragraph" w:styleId="BodyTextIndent2">
    <w:name w:val="Body Text Indent 2"/>
    <w:basedOn w:val="Normal"/>
    <w:pPr>
      <w:autoSpaceDE w:val="0"/>
      <w:autoSpaceDN w:val="0"/>
      <w:adjustRightInd w:val="0"/>
      <w:ind w:firstLine="720"/>
    </w:pPr>
    <w:rPr>
      <w:snapToGrid/>
    </w:rPr>
  </w:style>
  <w:style w:type="paragraph" w:styleId="BodyTextIndent3">
    <w:name w:val="Body Text Indent 3"/>
    <w:basedOn w:val="Normal"/>
    <w:pPr>
      <w:autoSpaceDE w:val="0"/>
      <w:autoSpaceDN w:val="0"/>
      <w:adjustRightInd w:val="0"/>
      <w:ind w:left="720"/>
    </w:pPr>
    <w:rPr>
      <w:snapToGrid/>
    </w:rPr>
  </w:style>
  <w:style w:type="paragraph" w:styleId="BodyText">
    <w:name w:val="Body Text"/>
    <w:basedOn w:val="Normal"/>
    <w:pPr>
      <w:autoSpaceDE w:val="0"/>
      <w:autoSpaceDN w:val="0"/>
      <w:adjustRightInd w:val="0"/>
    </w:pPr>
    <w:rPr>
      <w:b/>
      <w:snapToGrid/>
    </w:rPr>
  </w:style>
  <w:style w:type="paragraph" w:styleId="Footer">
    <w:name w:val="footer"/>
    <w:basedOn w:val="Normal"/>
    <w:rsid w:val="005C2DF4"/>
    <w:pPr>
      <w:tabs>
        <w:tab w:val="center" w:pos="4320"/>
        <w:tab w:val="right" w:pos="8640"/>
      </w:tabs>
    </w:pPr>
  </w:style>
  <w:style w:type="character" w:styleId="PageNumber">
    <w:name w:val="page number"/>
    <w:basedOn w:val="DefaultParagraphFont"/>
    <w:rsid w:val="005C2DF4"/>
  </w:style>
  <w:style w:type="character" w:customStyle="1" w:styleId="documentbody1">
    <w:name w:val="documentbody1"/>
    <w:basedOn w:val="DefaultParagraphFont"/>
    <w:rsid w:val="005341DE"/>
    <w:rPr>
      <w:rFonts w:ascii="Verdana" w:hAnsi="Verdana" w:hint="default"/>
      <w:sz w:val="19"/>
      <w:szCs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autoSpaceDE w:val="0"/>
      <w:autoSpaceDN w:val="0"/>
      <w:adjustRightInd w:val="0"/>
      <w:jc w:val="center"/>
      <w:outlineLvl w:val="0"/>
    </w:pPr>
    <w:rPr>
      <w:rFonts w:ascii="Courier New" w:hAnsi="Courier New"/>
      <w:b/>
      <w:snapToGrid/>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center">
    <w:name w:val="center"/>
    <w:basedOn w:val="Normal"/>
    <w:pPr>
      <w:keepLines/>
      <w:widowControl/>
      <w:spacing w:before="240" w:line="240" w:lineRule="atLeast"/>
      <w:jc w:val="center"/>
    </w:pPr>
    <w:rPr>
      <w:snapToGrid/>
      <w:sz w:val="26"/>
    </w:rPr>
  </w:style>
  <w:style w:type="character" w:styleId="Strong">
    <w:name w:val="Strong"/>
    <w:basedOn w:val="DefaultParagraphFont"/>
    <w:qFormat/>
    <w:rPr>
      <w:b/>
    </w:rPr>
  </w:style>
  <w:style w:type="character" w:styleId="Hyperlink">
    <w:name w:val="Hyperlink"/>
    <w:basedOn w:val="DefaultParagraphFont"/>
    <w:rPr>
      <w:color w:val="0000FF"/>
      <w:u w:val="single"/>
    </w:rPr>
  </w:style>
  <w:style w:type="paragraph" w:customStyle="1" w:styleId="Level1">
    <w:name w:val="Level 1"/>
    <w:basedOn w:val="Normal"/>
    <w:pPr>
      <w:numPr>
        <w:numId w:val="7"/>
      </w:numPr>
      <w:autoSpaceDE w:val="0"/>
      <w:autoSpaceDN w:val="0"/>
      <w:adjustRightInd w:val="0"/>
      <w:ind w:left="1440" w:hanging="720"/>
      <w:outlineLvl w:val="0"/>
    </w:pPr>
    <w:rPr>
      <w:snapToGrid/>
    </w:rPr>
  </w:style>
  <w:style w:type="paragraph" w:styleId="Header">
    <w:name w:val="header"/>
    <w:basedOn w:val="Normal"/>
    <w:pPr>
      <w:tabs>
        <w:tab w:val="center" w:pos="4320"/>
        <w:tab w:val="right" w:pos="8640"/>
      </w:tabs>
      <w:autoSpaceDE w:val="0"/>
      <w:autoSpaceDN w:val="0"/>
      <w:adjustRightInd w:val="0"/>
    </w:pPr>
    <w:rPr>
      <w:snapToGrid/>
    </w:rPr>
  </w:style>
  <w:style w:type="paragraph" w:styleId="BodyTextIndent">
    <w:name w:val="Body Text Indent"/>
    <w:basedOn w:val="Normal"/>
    <w:pPr>
      <w:autoSpaceDE w:val="0"/>
      <w:autoSpaceDN w:val="0"/>
      <w:adjustRightInd w:val="0"/>
      <w:ind w:firstLine="720"/>
    </w:pPr>
    <w:rPr>
      <w:rFonts w:ascii="Courier New" w:hAnsi="Courier New"/>
      <w:b/>
      <w:snapToGrid/>
    </w:rPr>
  </w:style>
  <w:style w:type="paragraph" w:styleId="BodyTextIndent2">
    <w:name w:val="Body Text Indent 2"/>
    <w:basedOn w:val="Normal"/>
    <w:pPr>
      <w:autoSpaceDE w:val="0"/>
      <w:autoSpaceDN w:val="0"/>
      <w:adjustRightInd w:val="0"/>
      <w:ind w:firstLine="720"/>
    </w:pPr>
    <w:rPr>
      <w:snapToGrid/>
    </w:rPr>
  </w:style>
  <w:style w:type="paragraph" w:styleId="BodyTextIndent3">
    <w:name w:val="Body Text Indent 3"/>
    <w:basedOn w:val="Normal"/>
    <w:pPr>
      <w:autoSpaceDE w:val="0"/>
      <w:autoSpaceDN w:val="0"/>
      <w:adjustRightInd w:val="0"/>
      <w:ind w:left="720"/>
    </w:pPr>
    <w:rPr>
      <w:snapToGrid/>
    </w:rPr>
  </w:style>
  <w:style w:type="paragraph" w:styleId="BodyText">
    <w:name w:val="Body Text"/>
    <w:basedOn w:val="Normal"/>
    <w:pPr>
      <w:autoSpaceDE w:val="0"/>
      <w:autoSpaceDN w:val="0"/>
      <w:adjustRightInd w:val="0"/>
    </w:pPr>
    <w:rPr>
      <w:b/>
      <w:snapToGrid/>
    </w:rPr>
  </w:style>
  <w:style w:type="paragraph" w:styleId="Footer">
    <w:name w:val="footer"/>
    <w:basedOn w:val="Normal"/>
    <w:rsid w:val="005C2DF4"/>
    <w:pPr>
      <w:tabs>
        <w:tab w:val="center" w:pos="4320"/>
        <w:tab w:val="right" w:pos="8640"/>
      </w:tabs>
    </w:pPr>
  </w:style>
  <w:style w:type="character" w:styleId="PageNumber">
    <w:name w:val="page number"/>
    <w:basedOn w:val="DefaultParagraphFont"/>
    <w:rsid w:val="005C2DF4"/>
  </w:style>
  <w:style w:type="character" w:customStyle="1" w:styleId="documentbody1">
    <w:name w:val="documentbody1"/>
    <w:basedOn w:val="DefaultParagraphFont"/>
    <w:rsid w:val="005341DE"/>
    <w:rPr>
      <w:rFonts w:ascii="Verdana" w:hAnsi="Verdana" w:hint="defaul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eb2.westlaw.com/find/default.wl?DB=4637&amp;SerialNum=2002720598&amp;FindType=Y&amp;ReferencePositionType=S&amp;ReferencePosition=55&amp;AP=&amp;mt=Alaska&amp;fn=_top&amp;sv=Split&amp;utid=%7bFF918973-4C1F-43D1-9185-3451B879F9D3%7d&amp;vr=2.0&amp;rs=WLW5.0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(Unfair Trade Practice defined)</vt:lpstr>
    </vt:vector>
  </TitlesOfParts>
  <Company>SOA - Department of Law</Company>
  <LinksUpToDate>false</LinksUpToDate>
  <CharactersWithSpaces>4762</CharactersWithSpaces>
  <SharedDoc>false</SharedDoc>
  <HLinks>
    <vt:vector size="6" baseType="variant">
      <vt:variant>
        <vt:i4>458852</vt:i4>
      </vt:variant>
      <vt:variant>
        <vt:i4>0</vt:i4>
      </vt:variant>
      <vt:variant>
        <vt:i4>0</vt:i4>
      </vt:variant>
      <vt:variant>
        <vt:i4>5</vt:i4>
      </vt:variant>
      <vt:variant>
        <vt:lpwstr>http://web2.westlaw.com/find/default.wl?DB=4637&amp;SerialNum=2002720598&amp;FindType=Y&amp;ReferencePositionType=S&amp;ReferencePosition=55&amp;AP=&amp;mt=Alaska&amp;fn=_top&amp;sv=Split&amp;utid=%7bFF918973-4C1F-43D1-9185-3451B879F9D3%7d&amp;vr=2.0&amp;rs=WLW5.09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(Unfair Trade Practice defined)</dc:title>
  <dc:subject/>
  <dc:creator>Attorney General</dc:creator>
  <cp:keywords/>
  <dc:description/>
  <cp:lastModifiedBy>Michael Merrington</cp:lastModifiedBy>
  <cp:revision>3</cp:revision>
  <cp:lastPrinted>2005-11-08T19:02:00Z</cp:lastPrinted>
  <dcterms:created xsi:type="dcterms:W3CDTF">2017-04-04T18:49:00Z</dcterms:created>
  <dcterms:modified xsi:type="dcterms:W3CDTF">2017-04-04T18:49:00Z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-1331674892</vt:i4>
  </property>
  <property fmtid="{D5CDD505-2E9C-101B-9397-08002B2CF9AE}" pid="3" name="_EmailSubject">
    <vt:lpwstr>Supplement 12 - Civil Pattern Jury Instructions Update</vt:lpwstr>
  </property>
  <property fmtid="{D5CDD505-2E9C-101B-9397-08002B2CF9AE}" pid="4" name="_AuthorEmail">
    <vt:lpwstr>jhoenack@courts.state.ak.us</vt:lpwstr>
  </property>
  <property fmtid="{D5CDD505-2E9C-101B-9397-08002B2CF9AE}" pid="5" name="_AuthorEmailDisplayName">
    <vt:lpwstr>Jennie Marshall-Hoenack</vt:lpwstr>
  </property>
  <property fmtid="{D5CDD505-2E9C-101B-9397-08002B2CF9AE}" pid="6" name="_ReviewingToolsShownOnce">
    <vt:lpwstr/>
  </property>
</Properties>
</file>