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903EE">
      <w:pPr>
        <w:pStyle w:val="PlainText"/>
        <w:jc w:val="both"/>
        <w:rPr>
          <w:rFonts w:ascii="Bookman Old Style" w:hAnsi="Bookman Old Style"/>
          <w:b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z w:val="26"/>
        </w:rPr>
        <w:t>13.00</w:t>
      </w:r>
      <w:r>
        <w:rPr>
          <w:rFonts w:ascii="Bookman Old Style" w:hAnsi="Bookman Old Style"/>
          <w:b/>
          <w:sz w:val="26"/>
        </w:rPr>
        <w:tab/>
        <w:t>TRESPASS AND NUISANCE – INTRODUCTORY COMMENT</w:t>
      </w: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A trespass is an intrusion onto land possessed by another without consent or other privilege.   Trespass includes not only entry onto land, but also remaining on land, or causing a third person or thing </w:t>
      </w:r>
      <w:r>
        <w:rPr>
          <w:rFonts w:ascii="Bookman Old Style" w:hAnsi="Bookman Old Style"/>
          <w:sz w:val="26"/>
        </w:rPr>
        <w:t xml:space="preserve">to enter or remain.  </w:t>
      </w:r>
      <w:r>
        <w:rPr>
          <w:rFonts w:ascii="Bookman Old Style" w:hAnsi="Bookman Old Style"/>
          <w:sz w:val="26"/>
          <w:u w:val="single"/>
        </w:rPr>
        <w:t>See</w:t>
      </w:r>
      <w:r>
        <w:rPr>
          <w:rFonts w:ascii="Bookman Old Style" w:hAnsi="Bookman Old Style"/>
          <w:sz w:val="26"/>
        </w:rPr>
        <w:t xml:space="preserve"> Restatement (Second) of Torts § 159-161 (1965).  </w:t>
      </w: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At common law, harm was inferred from every direct entry on land belonging to someone else.  In </w:t>
      </w:r>
      <w:r>
        <w:rPr>
          <w:rFonts w:ascii="Bookman Old Style" w:hAnsi="Bookman Old Style"/>
          <w:sz w:val="26"/>
          <w:u w:val="single"/>
        </w:rPr>
        <w:t>Wernberg v. Matanuska Elec. Ass'n.</w:t>
      </w:r>
      <w:r>
        <w:rPr>
          <w:rFonts w:ascii="Bookman Old Style" w:hAnsi="Bookman Old Style"/>
          <w:sz w:val="26"/>
        </w:rPr>
        <w:t>, 494 P.2d 790, 793 (Alaska 1972), the Alaska Supr</w:t>
      </w:r>
      <w:r>
        <w:rPr>
          <w:rFonts w:ascii="Bookman Old Style" w:hAnsi="Bookman Old Style"/>
          <w:sz w:val="26"/>
        </w:rPr>
        <w:t xml:space="preserve">eme Court rejected the common law rule in favor of the more modern approach taken by § 165 and 166 of the Restatement (Second) of Torts (1965).  Under the Restatement, liability and damages are determined by the character of the entry.  </w:t>
      </w: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If an entry was i</w:t>
      </w:r>
      <w:r>
        <w:rPr>
          <w:rFonts w:ascii="Bookman Old Style" w:hAnsi="Bookman Old Style"/>
          <w:sz w:val="26"/>
        </w:rPr>
        <w:t xml:space="preserve">ntentional, the trespasser is liable for damages regardless of whether the entry caused harm.  </w:t>
      </w:r>
      <w:r>
        <w:rPr>
          <w:rFonts w:ascii="Bookman Old Style" w:hAnsi="Bookman Old Style"/>
          <w:sz w:val="26"/>
          <w:u w:val="single"/>
        </w:rPr>
        <w:t>See</w:t>
      </w:r>
      <w:r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  <w:u w:val="single"/>
        </w:rPr>
        <w:t>id.</w:t>
      </w:r>
      <w:r>
        <w:rPr>
          <w:rFonts w:ascii="Bookman Old Style" w:hAnsi="Bookman Old Style"/>
          <w:sz w:val="26"/>
        </w:rPr>
        <w:t xml:space="preserve"> at § 158 &amp; 165 Comment b.  However, if the entry was the result of negligent or reckless conduct or an abnormally dangerous activity, there is no liabili</w:t>
      </w:r>
      <w:r>
        <w:rPr>
          <w:rFonts w:ascii="Bookman Old Style" w:hAnsi="Bookman Old Style"/>
          <w:sz w:val="26"/>
        </w:rPr>
        <w:t xml:space="preserve">ty in the absence of actual harm.  </w:t>
      </w:r>
      <w:r>
        <w:rPr>
          <w:rFonts w:ascii="Bookman Old Style" w:hAnsi="Bookman Old Style"/>
          <w:sz w:val="26"/>
          <w:u w:val="single"/>
        </w:rPr>
        <w:t>See</w:t>
      </w:r>
      <w:r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  <w:u w:val="single"/>
        </w:rPr>
        <w:t>id.</w:t>
      </w:r>
      <w:r>
        <w:rPr>
          <w:rFonts w:ascii="Bookman Old Style" w:hAnsi="Bookman Old Style"/>
          <w:sz w:val="26"/>
        </w:rPr>
        <w:t xml:space="preserve"> at § 165.  Accidental entry does not give rise to liability for trespass even if the entry results in actual harm.  </w:t>
      </w:r>
      <w:r>
        <w:rPr>
          <w:rFonts w:ascii="Bookman Old Style" w:hAnsi="Bookman Old Style"/>
          <w:sz w:val="26"/>
          <w:u w:val="single"/>
        </w:rPr>
        <w:t>See</w:t>
      </w:r>
      <w:r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  <w:u w:val="single"/>
        </w:rPr>
        <w:t>id.</w:t>
      </w:r>
      <w:r>
        <w:rPr>
          <w:rFonts w:ascii="Bookman Old Style" w:hAnsi="Bookman Old Style"/>
          <w:sz w:val="26"/>
        </w:rPr>
        <w:t xml:space="preserve"> at § 166.  </w:t>
      </w: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A person who intentionally enters someone else's property commits an intenti</w:t>
      </w:r>
      <w:r>
        <w:rPr>
          <w:rFonts w:ascii="Bookman Old Style" w:hAnsi="Bookman Old Style"/>
          <w:sz w:val="26"/>
        </w:rPr>
        <w:t xml:space="preserve">onal trespass and is liable even if the person mistakenly believed he or she had a right to be on the property.   </w:t>
      </w:r>
      <w:r>
        <w:rPr>
          <w:rFonts w:ascii="Bookman Old Style" w:hAnsi="Bookman Old Style"/>
          <w:sz w:val="26"/>
          <w:u w:val="single"/>
        </w:rPr>
        <w:t>Brown Jug, Inc. v. Int'l Bhd. of Teamsters</w:t>
      </w:r>
      <w:r>
        <w:rPr>
          <w:rFonts w:ascii="Bookman Old Style" w:hAnsi="Bookman Old Style"/>
          <w:sz w:val="26"/>
        </w:rPr>
        <w:t>, 688 P.2d 932, 938 (Alaska 1984).</w:t>
      </w: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Diminution in value is the generally recognized measure of damag</w:t>
      </w:r>
      <w:r>
        <w:rPr>
          <w:rFonts w:ascii="Bookman Old Style" w:hAnsi="Bookman Old Style"/>
          <w:sz w:val="26"/>
        </w:rPr>
        <w:t xml:space="preserve">es for any harm to real property caused by a trespass.  </w:t>
      </w:r>
      <w:r>
        <w:rPr>
          <w:rFonts w:ascii="Bookman Old Style" w:hAnsi="Bookman Old Style"/>
          <w:sz w:val="26"/>
          <w:u w:val="single"/>
        </w:rPr>
        <w:t>See</w:t>
      </w:r>
      <w:r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  <w:u w:val="single"/>
        </w:rPr>
        <w:t>Andersen v. Edwards</w:t>
      </w:r>
      <w:r>
        <w:rPr>
          <w:rFonts w:ascii="Bookman Old Style" w:hAnsi="Bookman Old Style"/>
          <w:sz w:val="26"/>
        </w:rPr>
        <w:t xml:space="preserve">, 625 P.2d 282, 289 (Alaska 1981).  However, a defendant may elect to recover restoration costs in certain circumstances. Id. at 288-89; </w:t>
      </w:r>
      <w:r>
        <w:rPr>
          <w:rFonts w:ascii="Bookman Old Style" w:hAnsi="Bookman Old Style"/>
          <w:sz w:val="26"/>
          <w:u w:val="single"/>
        </w:rPr>
        <w:t>G &amp; A Contractors, Inc. v. Alaska Greenh</w:t>
      </w:r>
      <w:r>
        <w:rPr>
          <w:rFonts w:ascii="Bookman Old Style" w:hAnsi="Bookman Old Style"/>
          <w:sz w:val="26"/>
          <w:u w:val="single"/>
        </w:rPr>
        <w:t>ouses, Inc.</w:t>
      </w:r>
      <w:r>
        <w:rPr>
          <w:rFonts w:ascii="Bookman Old Style" w:hAnsi="Bookman Old Style"/>
          <w:sz w:val="26"/>
        </w:rPr>
        <w:t xml:space="preserve">, 517 P.2d 1379 (Alaska 1974).  </w:t>
      </w: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Alaska Supreme Court has adopted the Restatement rule on recovery of restoration costs:</w:t>
      </w: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E903EE">
      <w:pPr>
        <w:pStyle w:val="PlainText"/>
        <w:ind w:left="720" w:right="962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We believe the appropriate rule is that if the cost of restoring the land to its original condition is disproportionat</w:t>
      </w:r>
      <w:r>
        <w:rPr>
          <w:rFonts w:ascii="Bookman Old Style" w:hAnsi="Bookman Old Style"/>
          <w:sz w:val="26"/>
        </w:rPr>
        <w:t xml:space="preserve">e to the diminution in the value of the land </w:t>
      </w:r>
      <w:r>
        <w:rPr>
          <w:rFonts w:ascii="Bookman Old Style" w:hAnsi="Bookman Old Style"/>
          <w:sz w:val="26"/>
        </w:rPr>
        <w:lastRenderedPageBreak/>
        <w:t>caused by the trespass, the restoration measure of damages is inappropriate unless there is a 'reason personal to the owner' for restoring the original condition.</w:t>
      </w: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Andersen v. Edwards, 625 P.2d at 288 (quoting R</w:t>
      </w:r>
      <w:r>
        <w:rPr>
          <w:rFonts w:ascii="Bookman Old Style" w:hAnsi="Bookman Old Style"/>
          <w:sz w:val="26"/>
        </w:rPr>
        <w:t xml:space="preserve">estatement (Second) of Torts § 919 comment b (1977)).  Thus, in </w:t>
      </w:r>
      <w:r>
        <w:rPr>
          <w:rFonts w:ascii="Bookman Old Style" w:hAnsi="Bookman Old Style"/>
          <w:sz w:val="26"/>
          <w:u w:val="single"/>
        </w:rPr>
        <w:t>G &amp; A Contractors Inc. v. Alaska Greenhouses, Inc.</w:t>
      </w:r>
      <w:r>
        <w:rPr>
          <w:rFonts w:ascii="Bookman Old Style" w:hAnsi="Bookman Old Style"/>
          <w:sz w:val="26"/>
        </w:rPr>
        <w:t>, the court found that the property owner's use of the property to create a showplace in connection with his nursery business was a reason per</w:t>
      </w:r>
      <w:r>
        <w:rPr>
          <w:rFonts w:ascii="Bookman Old Style" w:hAnsi="Bookman Old Style"/>
          <w:sz w:val="26"/>
        </w:rPr>
        <w:t xml:space="preserve">sonal to the owner justifying restoration damages.  </w:t>
      </w:r>
      <w:r>
        <w:rPr>
          <w:rFonts w:ascii="Bookman Old Style" w:hAnsi="Bookman Old Style"/>
          <w:sz w:val="26"/>
          <w:u w:val="single"/>
        </w:rPr>
        <w:t>Andersen v. Edwards</w:t>
      </w:r>
      <w:r>
        <w:rPr>
          <w:rFonts w:ascii="Bookman Old Style" w:hAnsi="Bookman Old Style"/>
          <w:sz w:val="26"/>
        </w:rPr>
        <w:t xml:space="preserve">, 625 P.2d at 288 (explaining the decision in </w:t>
      </w:r>
      <w:r>
        <w:rPr>
          <w:rFonts w:ascii="Bookman Old Style" w:hAnsi="Bookman Old Style"/>
          <w:sz w:val="26"/>
          <w:u w:val="single"/>
        </w:rPr>
        <w:t>G &amp; A Contractors, Inc. v. Alaska Greenhouses, Inc.</w:t>
      </w:r>
      <w:r>
        <w:rPr>
          <w:rFonts w:ascii="Bookman Old Style" w:hAnsi="Bookman Old Style"/>
          <w:sz w:val="26"/>
        </w:rPr>
        <w:t>, 517 P.2d at 1379).</w:t>
      </w: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Restoration is only an appropriate remedy where the harm to the re</w:t>
      </w:r>
      <w:r>
        <w:rPr>
          <w:rFonts w:ascii="Bookman Old Style" w:hAnsi="Bookman Old Style"/>
          <w:sz w:val="26"/>
        </w:rPr>
        <w:t>al property is temporary</w:t>
      </w:r>
      <w:r>
        <w:rPr>
          <w:rFonts w:ascii="Bookman Old Style" w:hAnsi="Bookman Old Style"/>
          <w:sz w:val="26"/>
          <w:u w:val="single"/>
        </w:rPr>
        <w:t>.  G &amp; A Contractors, Inc. v. Alaska Greenhouses, Inc.</w:t>
      </w:r>
      <w:r>
        <w:rPr>
          <w:rFonts w:ascii="Bookman Old Style" w:hAnsi="Bookman Old Style"/>
          <w:sz w:val="26"/>
        </w:rPr>
        <w:t>, 517 P.2d at 1386 (court upheld award of restoration damages because harm to the land was not "fixed and irreparable").</w:t>
      </w: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Damages for severance of trees or minerals are addressed</w:t>
      </w:r>
      <w:r>
        <w:rPr>
          <w:rFonts w:ascii="Bookman Old Style" w:hAnsi="Bookman Old Style"/>
          <w:sz w:val="26"/>
        </w:rPr>
        <w:t xml:space="preserve"> by statute.  See AS 09.45.730 (treble damages for trespass by cutting or injuring trees) and AS 09.45.735 (treble damages for removal of minerals or geotechnical data).</w:t>
      </w: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Restatement explains the difference between trespass and private nuisance as foll</w:t>
      </w:r>
      <w:r>
        <w:rPr>
          <w:rFonts w:ascii="Bookman Old Style" w:hAnsi="Bookman Old Style"/>
          <w:sz w:val="26"/>
        </w:rPr>
        <w:t>ows:</w:t>
      </w: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E903EE">
      <w:pPr>
        <w:pStyle w:val="PlainText"/>
        <w:ind w:left="720" w:right="962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ab/>
        <w:t>A trespass is an invasion of the interest in the exclusive possession of land, as by entry upon it.  A nuisance is an interference with the interest in the private use and enjoyment of the land, and does not require interference with the possession.</w:t>
      </w: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u w:val="single"/>
        </w:rPr>
        <w:t>Id.</w:t>
      </w:r>
      <w:r>
        <w:rPr>
          <w:rFonts w:ascii="Bookman Old Style" w:hAnsi="Bookman Old Style"/>
          <w:sz w:val="26"/>
        </w:rPr>
        <w:t xml:space="preserve"> at § 821D Comment d (citations omitted).</w:t>
      </w: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</w:t>
      </w: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AS 09.45.230 allows a "person to bring a civil action to enjoin or abate a private nuisance" and to receive damages.  Injunction and abatement are traditionally equity matters for the court to decide.  It is</w:t>
      </w:r>
      <w:r>
        <w:rPr>
          <w:rFonts w:ascii="Bookman Old Style" w:hAnsi="Bookman Old Style"/>
          <w:sz w:val="26"/>
        </w:rPr>
        <w:t xml:space="preserve"> only when damages are claimed that the case goes to the jury.</w:t>
      </w: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AS 09.45.255 defines nuisance as ". . . a substantial and unreasonable interference with the use or enjoyment of real property, including water."  The statute does not give any guidance as to </w:t>
      </w:r>
      <w:r>
        <w:rPr>
          <w:rFonts w:ascii="Bookman Old Style" w:hAnsi="Bookman Old Style"/>
          <w:sz w:val="26"/>
        </w:rPr>
        <w:t xml:space="preserve">what constitutes substantial or unreasonable interference. </w:t>
      </w: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Restatement requires "significant harm, of a kind that would be suffered by a normal person in the community or by property in normal condition and used for a normal purpose."  Restatement (S</w:t>
      </w:r>
      <w:r>
        <w:rPr>
          <w:rFonts w:ascii="Bookman Old Style" w:hAnsi="Bookman Old Style"/>
          <w:sz w:val="26"/>
        </w:rPr>
        <w:t>econd) of Torts § 821F (1979).</w:t>
      </w: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Restatement describes "significant harm" as ". . . harm of importance, involving more than slight inconvenience or petty annoyance."  Restatement (Second) of Torts § 821F, Comment c (1979).  There must be "a real and app</w:t>
      </w:r>
      <w:r>
        <w:rPr>
          <w:rFonts w:ascii="Bookman Old Style" w:hAnsi="Bookman Old Style"/>
          <w:sz w:val="26"/>
        </w:rPr>
        <w:t>reciable invasion of the plaintiff's interests . . . ."  Restatement (Second) of Torts § 821F, comment c (1979).</w:t>
      </w: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According to the Restatement, whether an interference is unreasonable is determined by use of a balancing test: if the gravity of the harm out</w:t>
      </w:r>
      <w:r>
        <w:rPr>
          <w:rFonts w:ascii="Bookman Old Style" w:hAnsi="Bookman Old Style"/>
          <w:sz w:val="26"/>
        </w:rPr>
        <w:t>weighs the utility of the conduct, the invasion is unreasonable.  Restatement (Second) of Torts § 826 (1979).</w:t>
      </w: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Alaska's nuisance statutes identify certain public nuisances, but do not define the elements of a cause of action for public nuisance.  At common</w:t>
      </w:r>
      <w:r>
        <w:rPr>
          <w:rFonts w:ascii="Bookman Old Style" w:hAnsi="Bookman Old Style"/>
          <w:sz w:val="26"/>
        </w:rPr>
        <w:t xml:space="preserve"> law, "the same act or structure may be a public nuisance, also a private nuisance as to a person who is thereby caused a special injury other than that inflicted upon the general public."  </w:t>
      </w:r>
      <w:r>
        <w:rPr>
          <w:rFonts w:ascii="Bookman Old Style" w:hAnsi="Bookman Old Style"/>
          <w:sz w:val="26"/>
          <w:u w:val="single"/>
        </w:rPr>
        <w:t>Snyder v. Kelter</w:t>
      </w:r>
      <w:r>
        <w:rPr>
          <w:rFonts w:ascii="Bookman Old Style" w:hAnsi="Bookman Old Style"/>
          <w:sz w:val="26"/>
        </w:rPr>
        <w:t>, 4 Alaska 447 (Alaska 1912).</w:t>
      </w: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Restatement exp</w:t>
      </w:r>
      <w:r>
        <w:rPr>
          <w:rFonts w:ascii="Bookman Old Style" w:hAnsi="Bookman Old Style"/>
          <w:sz w:val="26"/>
        </w:rPr>
        <w:t>lains recovery of private damages from public nuisance as follows:</w:t>
      </w: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  <w:t>The private individual can recover in tort for a public nuisance only if he has suffered harm of a different kind from that suffered by other persons exercising the same common right. It</w:t>
      </w:r>
      <w:r>
        <w:rPr>
          <w:rFonts w:ascii="Bookman Old Style" w:hAnsi="Bookman Old Style"/>
          <w:sz w:val="26"/>
        </w:rPr>
        <w:t xml:space="preserve"> is not enough that he has suffered the same kind of harm or interference to a greater extent or degree.</w:t>
      </w: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Restatement (Second) of Torts § 821C, Comment b (1979).</w:t>
      </w: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In addition to the requirement that the plaintiff have suffered an injury different from that</w:t>
      </w:r>
      <w:r>
        <w:rPr>
          <w:rFonts w:ascii="Bookman Old Style" w:hAnsi="Bookman Old Style"/>
          <w:sz w:val="26"/>
        </w:rPr>
        <w:t xml:space="preserve"> suffered by the public, the plaintiff must have suffered the injury in the exercise of a public or common right.  </w:t>
      </w:r>
      <w:r>
        <w:rPr>
          <w:rFonts w:ascii="Bookman Old Style" w:hAnsi="Bookman Old Style"/>
          <w:sz w:val="26"/>
          <w:u w:val="single"/>
        </w:rPr>
        <w:t>Maier v. Ketchikan</w:t>
      </w:r>
      <w:r>
        <w:rPr>
          <w:rFonts w:ascii="Bookman Old Style" w:hAnsi="Bookman Old Style"/>
          <w:sz w:val="26"/>
        </w:rPr>
        <w:t>, 403 P.2d 34, 38 (Alaska 1965).  "A public right is one common to all members of the general public."  Restatement (Second</w:t>
      </w:r>
      <w:r>
        <w:rPr>
          <w:rFonts w:ascii="Bookman Old Style" w:hAnsi="Bookman Old Style"/>
          <w:sz w:val="26"/>
        </w:rPr>
        <w:t>) of Torts § 821B, Comment g (1979).</w:t>
      </w: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Alaska Statutes identify some specific public nuisances.  See, e.g., as follows: AS 03.05.050 (agricultural or fishing products); 03.30.030 (wire fences); 09.50.170-.240 (bawdy houses); 16.05.800 (fishing equipment</w:t>
      </w:r>
      <w:r>
        <w:rPr>
          <w:rFonts w:ascii="Bookman Old Style" w:hAnsi="Bookman Old Style"/>
          <w:sz w:val="26"/>
        </w:rPr>
        <w:t>); 16.05.880 (construction in specified waters); 19.25.150 (advertising signs); and 19.27.060-.080 (junk yards).  These statutes may eliminate the necessity of proving one or more of the elements of a cause of action for public nuisance.</w:t>
      </w: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A person may suff</w:t>
      </w:r>
      <w:r>
        <w:rPr>
          <w:rFonts w:ascii="Bookman Old Style" w:hAnsi="Bookman Old Style"/>
          <w:sz w:val="26"/>
        </w:rPr>
        <w:t xml:space="preserve">er a nuisance that is both public and private: </w:t>
      </w: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E903EE">
      <w:pPr>
        <w:pStyle w:val="PlainText"/>
        <w:ind w:left="720" w:right="962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ab/>
        <w:t>When the nuisance, in addition to interfering with the public right, also interferes with the use and enjoyment of the plaintiff's land, it is a private nuisance as well as a public one.</w:t>
      </w: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Restatement (Secon</w:t>
      </w:r>
      <w:r>
        <w:rPr>
          <w:rFonts w:ascii="Bookman Old Style" w:hAnsi="Bookman Old Style"/>
          <w:sz w:val="26"/>
        </w:rPr>
        <w:t>d) of Torts § 821C, Comment e (1979).</w:t>
      </w: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E903EE">
      <w:pPr>
        <w:pStyle w:val="PlainText"/>
        <w:jc w:val="both"/>
        <w:rPr>
          <w:rFonts w:ascii="Bookman Old Style" w:hAnsi="Bookman Old Style"/>
          <w:sz w:val="26"/>
        </w:rPr>
      </w:pPr>
    </w:p>
    <w:sectPr w:rsidR="00000000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03EE">
      <w:r>
        <w:separator/>
      </w:r>
    </w:p>
  </w:endnote>
  <w:endnote w:type="continuationSeparator" w:id="0">
    <w:p w:rsidR="00000000" w:rsidRDefault="00E9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903EE">
    <w:pPr>
      <w:pStyle w:val="Footer"/>
      <w:tabs>
        <w:tab w:val="clear" w:pos="8640"/>
        <w:tab w:val="right" w:pos="9180"/>
      </w:tabs>
      <w:rPr>
        <w:rFonts w:ascii="Bookman Old Style" w:hAnsi="Bookman Old Style"/>
      </w:rPr>
    </w:pPr>
    <w:r>
      <w:rPr>
        <w:rFonts w:ascii="Bookman Old Style" w:hAnsi="Bookman Old Style"/>
      </w:rPr>
      <w:t>Revised 1996</w:t>
    </w:r>
    <w:r>
      <w:rPr>
        <w:rFonts w:ascii="Bookman Old Style" w:hAnsi="Bookman Old Style"/>
      </w:rPr>
      <w:tab/>
    </w:r>
    <w:r>
      <w:rPr>
        <w:rFonts w:ascii="Bookman Old Style" w:hAnsi="Bookman Old Style"/>
      </w:rPr>
      <w:tab/>
      <w:t xml:space="preserve">13.00 – </w:t>
    </w:r>
    <w:r>
      <w:rPr>
        <w:rStyle w:val="PageNumber"/>
        <w:rFonts w:ascii="Bookman Old Style" w:hAnsi="Bookman Old Style"/>
      </w:rPr>
      <w:fldChar w:fldCharType="begin"/>
    </w:r>
    <w:r>
      <w:rPr>
        <w:rStyle w:val="PageNumber"/>
        <w:rFonts w:ascii="Bookman Old Style" w:hAnsi="Bookman Old Style"/>
      </w:rPr>
      <w:instrText xml:space="preserve"> PAGE </w:instrText>
    </w:r>
    <w:r>
      <w:rPr>
        <w:rStyle w:val="PageNumber"/>
        <w:rFonts w:ascii="Bookman Old Style" w:hAnsi="Bookman Old Style"/>
      </w:rPr>
      <w:fldChar w:fldCharType="separate"/>
    </w:r>
    <w:r w:rsidR="00D340E0">
      <w:rPr>
        <w:rStyle w:val="PageNumber"/>
        <w:rFonts w:ascii="Bookman Old Style" w:hAnsi="Bookman Old Style"/>
        <w:noProof/>
      </w:rPr>
      <w:t>1</w:t>
    </w:r>
    <w:r>
      <w:rPr>
        <w:rStyle w:val="PageNumber"/>
        <w:rFonts w:ascii="Bookman Old Style" w:hAnsi="Bookman Old Styl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03EE">
      <w:r>
        <w:separator/>
      </w:r>
    </w:p>
  </w:footnote>
  <w:footnote w:type="continuationSeparator" w:id="0">
    <w:p w:rsidR="00000000" w:rsidRDefault="00E90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E0"/>
    <w:rsid w:val="00D340E0"/>
    <w:rsid w:val="00E9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</vt:lpstr>
    </vt:vector>
  </TitlesOfParts>
  <Company>Alaska Court System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subject/>
  <dc:creator>korzechowski</dc:creator>
  <cp:keywords/>
  <cp:lastModifiedBy>Michael Merrington</cp:lastModifiedBy>
  <cp:revision>3</cp:revision>
  <cp:lastPrinted>2000-08-18T21:45:00Z</cp:lastPrinted>
  <dcterms:created xsi:type="dcterms:W3CDTF">2017-04-04T18:49:00Z</dcterms:created>
  <dcterms:modified xsi:type="dcterms:W3CDTF">2017-04-04T18:49:00Z</dcterms:modified>
</cp:coreProperties>
</file>