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 xml:space="preserve">13.03 </w:t>
      </w:r>
      <w:r>
        <w:rPr>
          <w:rFonts w:ascii="Bookman Old Style" w:hAnsi="Bookman Old Style"/>
          <w:b/>
          <w:sz w:val="26"/>
        </w:rPr>
        <w:tab/>
        <w:t>ENTRY PRIVILEGED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In this case, the defendant claims that [his] [her] [its] entry was privileged.  A privileged entry is an entry that is allowed by law. 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law allows entry onto the property of another [by agreement] [by consent, which may be a</w:t>
      </w:r>
      <w:r>
        <w:rPr>
          <w:rFonts w:ascii="Bookman Old Style" w:hAnsi="Bookman Old Style"/>
          <w:sz w:val="26"/>
        </w:rPr>
        <w:t>ctual or implied] [under authority of law] [if necessary to prevent serious harm].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To determine whether the entry in this case was allowed by law, you must decide whether it is more likely true than not true that 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[the defendant had an agreement with the</w:t>
      </w:r>
      <w:r>
        <w:rPr>
          <w:rFonts w:ascii="Bookman Old Style" w:hAnsi="Bookman Old Style"/>
          <w:sz w:val="26"/>
        </w:rPr>
        <w:t xml:space="preserve"> plaintiff which authorized the defendant to enter the property.]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[the plaintiff consented to the entry.  Consent means that the plaintiff said or did something to [indicate agreement to] [cause the defendant to reasonably believe the plaintiff agreed to]</w:t>
      </w:r>
      <w:r>
        <w:rPr>
          <w:rFonts w:ascii="Bookman Old Style" w:hAnsi="Bookman Old Style"/>
          <w:sz w:val="26"/>
        </w:rPr>
        <w:t xml:space="preserve"> the defendant's entry.]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[a reasonable person under similar circumstances would assume consent to the entry.]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[the defendant entered the property under authority of law.]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[the entry was or reasonably appeared to be necessary to prevent serious harm to [</w:t>
      </w:r>
      <w:r>
        <w:rPr>
          <w:rFonts w:ascii="Bookman Old Style" w:hAnsi="Bookman Old Style"/>
          <w:sz w:val="26"/>
        </w:rPr>
        <w:t>the defendant] [the defendant's property] [another person] [another person's property].]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you decide that this is more likely true than not true, then you must [decide in favor of the defendant on this claim.]  [decide whether the defendant exceeded the</w:t>
      </w:r>
      <w:r>
        <w:rPr>
          <w:rFonts w:ascii="Bookman Old Style" w:hAnsi="Bookman Old Style"/>
          <w:sz w:val="26"/>
        </w:rPr>
        <w:t xml:space="preserve"> privilege.  I will tell you how to do this in a moment.]  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Otherwise, you must decide in favor of the plaintiff.</w:t>
      </w: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964F2A">
      <w:pPr>
        <w:pStyle w:val="PlainText"/>
        <w:jc w:val="center"/>
        <w:rPr>
          <w:rFonts w:ascii="Bookman Old Style" w:hAnsi="Bookman Old Style"/>
          <w:sz w:val="26"/>
          <w:u w:val="single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be used when the defendant claims that the entry was privileged.  It should be given with Instruction 13.</w:t>
      </w:r>
      <w:r>
        <w:rPr>
          <w:rFonts w:ascii="Bookman Old Style" w:hAnsi="Bookman Old Style"/>
          <w:sz w:val="26"/>
        </w:rPr>
        <w:t xml:space="preserve">01A or 13.01B when the defendant denies the trespass and on its own (with a new introductory sentence) when the defendant admits the trespass. 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does not cover all possible privileges.  For other privileges, see chapter 8 of the Restatemen</w:t>
      </w:r>
      <w:r>
        <w:rPr>
          <w:rFonts w:ascii="Bookman Old Style" w:hAnsi="Bookman Old Style"/>
          <w:sz w:val="26"/>
        </w:rPr>
        <w:t>t (Second) of Torts (1965). The judge can choose to use the language about the agreement or the language about consent when there has been a contract between the parties.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be used with Instruction 13.02A if the plaintiff contends th</w:t>
      </w:r>
      <w:r>
        <w:rPr>
          <w:rFonts w:ascii="Bookman Old Style" w:hAnsi="Bookman Old Style"/>
          <w:sz w:val="26"/>
        </w:rPr>
        <w:t xml:space="preserve">at the defendant exceeded the privilege. 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does not use the term license.  The language "an agreement with the plaintiff that authorizes the defendant to . . ." covers the same concept but in language that will be more familiar to</w:t>
      </w:r>
      <w:r>
        <w:rPr>
          <w:rFonts w:ascii="Bookman Old Style" w:hAnsi="Bookman Old Style"/>
          <w:sz w:val="26"/>
        </w:rPr>
        <w:t xml:space="preserve"> the jury.  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 legal right to enter is entering under government authority such as a police officer responding to a call for help.  This is not a trespass.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Herrin v. State</w:t>
      </w:r>
      <w:r>
        <w:rPr>
          <w:rFonts w:ascii="Bookman Old Style" w:hAnsi="Bookman Old Style"/>
          <w:sz w:val="26"/>
        </w:rPr>
        <w:t>, 449 P.2d 674 (Alaska 1969).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"reasonable person under similar circumstanc</w:t>
      </w:r>
      <w:r>
        <w:rPr>
          <w:rFonts w:ascii="Bookman Old Style" w:hAnsi="Bookman Old Style"/>
          <w:sz w:val="26"/>
        </w:rPr>
        <w:t xml:space="preserve">es . . ." language covers what some sources refer to as the custom and usage defense, e.g., the right of a door-to-door salesman to enter property and knock at a house door unless it has been made clear that sales people are not wanted,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, </w:t>
      </w:r>
      <w:r>
        <w:rPr>
          <w:rFonts w:ascii="Bookman Old Style" w:hAnsi="Bookman Old Style"/>
          <w:sz w:val="26"/>
          <w:u w:val="single"/>
        </w:rPr>
        <w:t>e.g.</w:t>
      </w:r>
      <w:r>
        <w:rPr>
          <w:rFonts w:ascii="Bookman Old Style" w:hAnsi="Bookman Old Style"/>
          <w:sz w:val="26"/>
        </w:rPr>
        <w:t xml:space="preserve">,  75 Am. </w:t>
      </w:r>
      <w:r>
        <w:rPr>
          <w:rFonts w:ascii="Bookman Old Style" w:hAnsi="Bookman Old Style"/>
          <w:sz w:val="26"/>
        </w:rPr>
        <w:t xml:space="preserve">Jur. 2d </w:t>
      </w:r>
      <w:r>
        <w:rPr>
          <w:rFonts w:ascii="Bookman Old Style" w:hAnsi="Bookman Old Style"/>
          <w:i/>
          <w:sz w:val="26"/>
        </w:rPr>
        <w:t>Trespass</w:t>
      </w:r>
      <w:r>
        <w:rPr>
          <w:rFonts w:ascii="Bookman Old Style" w:hAnsi="Bookman Old Style"/>
          <w:sz w:val="26"/>
        </w:rPr>
        <w:t xml:space="preserve"> § 87 (1991), and what other sources treat as consent by custom.  See Restatement (Second) of Torts § 892 comment d (1965). 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Restatement (Second) of Torts § 197 (1965) describes the private necessity privilege as follows: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ind w:left="1440" w:righ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(1)</w:t>
      </w:r>
      <w:r>
        <w:rPr>
          <w:rFonts w:ascii="Bookman Old Style" w:hAnsi="Bookman Old Style"/>
          <w:sz w:val="26"/>
        </w:rPr>
        <w:tab/>
        <w:t>One is p</w:t>
      </w:r>
      <w:r>
        <w:rPr>
          <w:rFonts w:ascii="Bookman Old Style" w:hAnsi="Bookman Old Style"/>
          <w:sz w:val="26"/>
        </w:rPr>
        <w:t>rivileged to enter or remain on land in the possession of another if it is or reasonably appears to be necessary to prevent serious harm to</w:t>
      </w:r>
    </w:p>
    <w:p w:rsidR="00000000" w:rsidRDefault="00964F2A">
      <w:pPr>
        <w:pStyle w:val="PlainText"/>
        <w:ind w:left="720" w:righ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>(a)</w:t>
      </w:r>
      <w:r>
        <w:rPr>
          <w:rFonts w:ascii="Bookman Old Style" w:hAnsi="Bookman Old Style"/>
          <w:sz w:val="26"/>
        </w:rPr>
        <w:tab/>
        <w:t>the actor, or his land or chattels, or</w:t>
      </w:r>
    </w:p>
    <w:p w:rsidR="00000000" w:rsidRDefault="00964F2A">
      <w:pPr>
        <w:pStyle w:val="PlainText"/>
        <w:tabs>
          <w:tab w:val="left" w:pos="1440"/>
        </w:tabs>
        <w:ind w:left="2160" w:right="720" w:hanging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  <w:t>(b)</w:t>
      </w:r>
      <w:r>
        <w:rPr>
          <w:rFonts w:ascii="Bookman Old Style" w:hAnsi="Bookman Old Style"/>
          <w:sz w:val="26"/>
        </w:rPr>
        <w:tab/>
        <w:t>the other or a third person, or the land and chattels of either, un</w:t>
      </w:r>
      <w:r>
        <w:rPr>
          <w:rFonts w:ascii="Bookman Old Style" w:hAnsi="Bookman Old Style"/>
          <w:sz w:val="26"/>
        </w:rPr>
        <w:t>less the actor knows or has reason of know that the one for whose benefit he enters is unwilling that he shall take such action.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In </w:t>
      </w:r>
      <w:r>
        <w:rPr>
          <w:rFonts w:ascii="Bookman Old Style" w:hAnsi="Bookman Old Style"/>
          <w:sz w:val="26"/>
          <w:u w:val="single"/>
        </w:rPr>
        <w:t>Bird v. Municipality of Anchorage</w:t>
      </w:r>
      <w:r>
        <w:rPr>
          <w:rFonts w:ascii="Bookman Old Style" w:hAnsi="Bookman Old Style"/>
          <w:sz w:val="26"/>
        </w:rPr>
        <w:t>, 787 P.2d 119 (Alaska App. 1990), the defense of necessity was asserted in a criminal tre</w:t>
      </w:r>
      <w:r>
        <w:rPr>
          <w:rFonts w:ascii="Bookman Old Style" w:hAnsi="Bookman Old Style"/>
          <w:sz w:val="26"/>
        </w:rPr>
        <w:t>spass case.  The court concluded that the defense is available in Alaska, except where precluded by statute, and that to establish the defense, the defendant must show that: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ind w:left="720" w:righ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(1)</w:t>
      </w:r>
      <w:r>
        <w:rPr>
          <w:rFonts w:ascii="Bookman Old Style" w:hAnsi="Bookman Old Style"/>
          <w:sz w:val="26"/>
        </w:rPr>
        <w:tab/>
        <w:t>the act charged was done to prevent a significant evil;</w:t>
      </w:r>
    </w:p>
    <w:p w:rsidR="00000000" w:rsidRDefault="00964F2A">
      <w:pPr>
        <w:pStyle w:val="PlainText"/>
        <w:ind w:left="720" w:righ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  <w:t>there was no adeq</w:t>
      </w:r>
      <w:r>
        <w:rPr>
          <w:rFonts w:ascii="Bookman Old Style" w:hAnsi="Bookman Old Style"/>
          <w:sz w:val="26"/>
        </w:rPr>
        <w:t>uate alternative; and</w:t>
      </w:r>
    </w:p>
    <w:p w:rsidR="00000000" w:rsidRDefault="00964F2A">
      <w:pPr>
        <w:pStyle w:val="PlainText"/>
        <w:ind w:left="1440" w:righ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  <w:t>the harm caused was not disproportionate to the harm avoided.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>Id.</w:t>
      </w:r>
      <w:r>
        <w:rPr>
          <w:rFonts w:ascii="Bookman Old Style" w:hAnsi="Bookman Old Style"/>
          <w:sz w:val="26"/>
        </w:rPr>
        <w:t xml:space="preserve"> at 120-21.  This instruction includes the Restatement's formulation of the private necessity privilege rather than the necessity defense described in Bird; however</w:t>
      </w:r>
      <w:r>
        <w:rPr>
          <w:rFonts w:ascii="Bookman Old Style" w:hAnsi="Bookman Old Style"/>
          <w:sz w:val="26"/>
        </w:rPr>
        <w:t xml:space="preserve">, there is no Alaska authority that has applied the criminal defense in a civil trespass action. </w:t>
      </w: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964F2A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4F2A">
      <w:r>
        <w:separator/>
      </w:r>
    </w:p>
  </w:endnote>
  <w:endnote w:type="continuationSeparator" w:id="0">
    <w:p w:rsidR="00000000" w:rsidRDefault="0096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4F2A">
    <w:pPr>
      <w:pStyle w:val="Footer"/>
      <w:tabs>
        <w:tab w:val="clear" w:pos="8640"/>
        <w:tab w:val="right" w:pos="9090"/>
      </w:tabs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1996</w:t>
    </w:r>
    <w:r>
      <w:rPr>
        <w:rFonts w:ascii="Bookman Old Style" w:hAnsi="Bookman Old Style"/>
        <w:sz w:val="24"/>
      </w:rPr>
      <w:tab/>
    </w:r>
    <w:r>
      <w:rPr>
        <w:rFonts w:ascii="Bookman Old Style" w:hAnsi="Bookman Old Style"/>
        <w:sz w:val="24"/>
      </w:rPr>
      <w:tab/>
      <w:t xml:space="preserve">13.03 – </w:t>
    </w:r>
    <w:r>
      <w:rPr>
        <w:rStyle w:val="PageNumber"/>
        <w:rFonts w:ascii="Bookman Old Style" w:hAnsi="Bookman Old Style"/>
        <w:sz w:val="24"/>
      </w:rPr>
      <w:fldChar w:fldCharType="begin"/>
    </w:r>
    <w:r>
      <w:rPr>
        <w:rStyle w:val="PageNumber"/>
        <w:rFonts w:ascii="Bookman Old Style" w:hAnsi="Bookman Old Style"/>
        <w:sz w:val="24"/>
      </w:rPr>
      <w:instrText xml:space="preserve"> PAGE </w:instrText>
    </w:r>
    <w:r>
      <w:rPr>
        <w:rStyle w:val="PageNumber"/>
        <w:rFonts w:ascii="Bookman Old Style" w:hAnsi="Bookman Old Style"/>
        <w:sz w:val="24"/>
      </w:rPr>
      <w:fldChar w:fldCharType="separate"/>
    </w:r>
    <w:r w:rsidR="00584226">
      <w:rPr>
        <w:rStyle w:val="PageNumber"/>
        <w:rFonts w:ascii="Bookman Old Style" w:hAnsi="Bookman Old Style"/>
        <w:noProof/>
        <w:sz w:val="24"/>
      </w:rPr>
      <w:t>1</w:t>
    </w:r>
    <w:r>
      <w:rPr>
        <w:rStyle w:val="PageNumber"/>
        <w:rFonts w:ascii="Bookman Old Style" w:hAnsi="Bookman Old Styl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4F2A">
      <w:r>
        <w:separator/>
      </w:r>
    </w:p>
  </w:footnote>
  <w:footnote w:type="continuationSeparator" w:id="0">
    <w:p w:rsidR="00000000" w:rsidRDefault="00964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26"/>
    <w:rsid w:val="00584226"/>
    <w:rsid w:val="009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</vt:lpstr>
    </vt:vector>
  </TitlesOfParts>
  <Company>Alaska Court System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korzechowski</dc:creator>
  <cp:keywords/>
  <cp:lastModifiedBy>Michael Merrington</cp:lastModifiedBy>
  <cp:revision>3</cp:revision>
  <cp:lastPrinted>2000-08-18T22:32:00Z</cp:lastPrinted>
  <dcterms:created xsi:type="dcterms:W3CDTF">2017-04-04T18:49:00Z</dcterms:created>
  <dcterms:modified xsi:type="dcterms:W3CDTF">2017-04-04T18:49:00Z</dcterms:modified>
</cp:coreProperties>
</file>