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63E3">
      <w:pPr>
        <w:pStyle w:val="PlainText"/>
        <w:spacing w:line="360" w:lineRule="auto"/>
        <w:jc w:val="both"/>
        <w:rPr>
          <w:rFonts w:ascii="Bookman Old Style" w:hAnsi="Bookman Old Style"/>
          <w:b/>
          <w:sz w:val="26"/>
        </w:rPr>
      </w:pPr>
      <w:bookmarkStart w:id="0" w:name="_GoBack"/>
      <w:bookmarkEnd w:id="0"/>
      <w:r>
        <w:rPr>
          <w:rFonts w:ascii="Bookman Old Style" w:hAnsi="Bookman Old Style"/>
          <w:b/>
          <w:sz w:val="26"/>
        </w:rPr>
        <w:t>13.08</w:t>
      </w:r>
      <w:r>
        <w:rPr>
          <w:rFonts w:ascii="Bookman Old Style" w:hAnsi="Bookman Old Style"/>
          <w:b/>
          <w:sz w:val="26"/>
        </w:rPr>
        <w:tab/>
        <w:t>PRIVATE NUISANCE</w:t>
      </w:r>
    </w:p>
    <w:p w:rsidR="00000000" w:rsidRDefault="00A863E3">
      <w:pPr>
        <w:pStyle w:val="PlainText"/>
        <w:spacing w:line="360" w:lineRule="auto"/>
        <w:jc w:val="both"/>
        <w:rPr>
          <w:rFonts w:ascii="Bookman Old Style" w:hAnsi="Bookman Old Style"/>
          <w:sz w:val="26"/>
        </w:rPr>
      </w:pPr>
    </w:p>
    <w:p w:rsidR="00000000" w:rsidRDefault="00A863E3">
      <w:pPr>
        <w:pStyle w:val="PlainText"/>
        <w:spacing w:line="360" w:lineRule="auto"/>
        <w:jc w:val="both"/>
        <w:rPr>
          <w:rFonts w:ascii="Bookman Old Style" w:hAnsi="Bookman Old Style"/>
          <w:sz w:val="26"/>
        </w:rPr>
      </w:pPr>
    </w:p>
    <w:p w:rsidR="00000000" w:rsidRDefault="00A863E3">
      <w:pPr>
        <w:pStyle w:val="PlainText"/>
        <w:spacing w:line="360" w:lineRule="auto"/>
        <w:jc w:val="both"/>
        <w:rPr>
          <w:rFonts w:ascii="Bookman Old Style" w:hAnsi="Bookman Old Style"/>
          <w:sz w:val="26"/>
        </w:rPr>
      </w:pPr>
      <w:r>
        <w:rPr>
          <w:rFonts w:ascii="Bookman Old Style" w:hAnsi="Bookman Old Style"/>
          <w:sz w:val="26"/>
        </w:rPr>
        <w:t>The plaintiff claims that the defendant has created a nuisance with respect to the plaintiff's use or enjoyment of plaintiff's property.</w:t>
      </w:r>
    </w:p>
    <w:p w:rsidR="00000000" w:rsidRDefault="00A863E3">
      <w:pPr>
        <w:pStyle w:val="PlainText"/>
        <w:spacing w:line="360" w:lineRule="auto"/>
        <w:jc w:val="both"/>
        <w:rPr>
          <w:rFonts w:ascii="Bookman Old Style" w:hAnsi="Bookman Old Style"/>
          <w:sz w:val="26"/>
        </w:rPr>
      </w:pPr>
    </w:p>
    <w:p w:rsidR="00000000" w:rsidRDefault="00A863E3">
      <w:pPr>
        <w:pStyle w:val="PlainText"/>
        <w:spacing w:line="360" w:lineRule="auto"/>
        <w:jc w:val="both"/>
        <w:rPr>
          <w:rFonts w:ascii="Bookman Old Style" w:hAnsi="Bookman Old Style"/>
          <w:sz w:val="26"/>
        </w:rPr>
      </w:pPr>
      <w:r>
        <w:rPr>
          <w:rFonts w:ascii="Bookman Old Style" w:hAnsi="Bookman Old Style"/>
          <w:sz w:val="26"/>
        </w:rPr>
        <w:t>To determine whether the defendant has created a nuisance, you must decide whether it is more</w:t>
      </w:r>
      <w:r>
        <w:rPr>
          <w:rFonts w:ascii="Bookman Old Style" w:hAnsi="Bookman Old Style"/>
          <w:sz w:val="26"/>
        </w:rPr>
        <w:t xml:space="preserve"> likely true than not true that:</w:t>
      </w:r>
    </w:p>
    <w:p w:rsidR="00000000" w:rsidRDefault="00A863E3">
      <w:pPr>
        <w:pStyle w:val="PlainText"/>
        <w:spacing w:line="360" w:lineRule="auto"/>
        <w:jc w:val="both"/>
        <w:rPr>
          <w:rFonts w:ascii="Bookman Old Style" w:hAnsi="Bookman Old Style"/>
          <w:sz w:val="26"/>
        </w:rPr>
      </w:pPr>
    </w:p>
    <w:p w:rsidR="00000000" w:rsidRDefault="00A863E3">
      <w:pPr>
        <w:pStyle w:val="PlainText"/>
        <w:spacing w:line="360" w:lineRule="auto"/>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the defendant interfered with plaintiff's use or enjoyment of property;</w:t>
      </w:r>
    </w:p>
    <w:p w:rsidR="00000000" w:rsidRDefault="00A863E3">
      <w:pPr>
        <w:pStyle w:val="PlainText"/>
        <w:spacing w:line="360" w:lineRule="auto"/>
        <w:ind w:left="720" w:hanging="720"/>
        <w:jc w:val="both"/>
        <w:rPr>
          <w:rFonts w:ascii="Bookman Old Style" w:hAnsi="Bookman Old Style"/>
          <w:sz w:val="26"/>
        </w:rPr>
      </w:pPr>
    </w:p>
    <w:p w:rsidR="00000000" w:rsidRDefault="00A863E3">
      <w:pPr>
        <w:pStyle w:val="PlainText"/>
        <w:spacing w:line="360" w:lineRule="auto"/>
        <w:ind w:left="720" w:hanging="720"/>
        <w:jc w:val="both"/>
        <w:rPr>
          <w:rFonts w:ascii="Bookman Old Style" w:hAnsi="Bookman Old Style"/>
          <w:sz w:val="26"/>
        </w:rPr>
      </w:pPr>
      <w:r>
        <w:rPr>
          <w:rFonts w:ascii="Bookman Old Style" w:hAnsi="Bookman Old Style"/>
          <w:sz w:val="26"/>
        </w:rPr>
        <w:t>(2)</w:t>
      </w:r>
      <w:r>
        <w:rPr>
          <w:rFonts w:ascii="Bookman Old Style" w:hAnsi="Bookman Old Style"/>
          <w:sz w:val="26"/>
        </w:rPr>
        <w:tab/>
        <w:t>the interference was [intentional and unreasonable] [negligent] [reckless]; and</w:t>
      </w:r>
    </w:p>
    <w:p w:rsidR="00000000" w:rsidRDefault="00A863E3">
      <w:pPr>
        <w:pStyle w:val="PlainText"/>
        <w:spacing w:line="360" w:lineRule="auto"/>
        <w:ind w:left="720" w:hanging="720"/>
        <w:jc w:val="both"/>
        <w:rPr>
          <w:rFonts w:ascii="Bookman Old Style" w:hAnsi="Bookman Old Style"/>
          <w:sz w:val="26"/>
        </w:rPr>
      </w:pPr>
    </w:p>
    <w:p w:rsidR="00000000" w:rsidRDefault="00A863E3">
      <w:pPr>
        <w:pStyle w:val="PlainText"/>
        <w:spacing w:line="360" w:lineRule="auto"/>
        <w:ind w:left="720" w:hanging="720"/>
        <w:jc w:val="both"/>
        <w:rPr>
          <w:rFonts w:ascii="Bookman Old Style" w:hAnsi="Bookman Old Style"/>
          <w:sz w:val="26"/>
        </w:rPr>
      </w:pPr>
      <w:r>
        <w:rPr>
          <w:rFonts w:ascii="Bookman Old Style" w:hAnsi="Bookman Old Style"/>
          <w:sz w:val="26"/>
        </w:rPr>
        <w:t>(3)</w:t>
      </w:r>
      <w:r>
        <w:rPr>
          <w:rFonts w:ascii="Bookman Old Style" w:hAnsi="Bookman Old Style"/>
          <w:sz w:val="26"/>
        </w:rPr>
        <w:tab/>
        <w:t>the interference was a legal cause of significant harm t</w:t>
      </w:r>
      <w:r>
        <w:rPr>
          <w:rFonts w:ascii="Bookman Old Style" w:hAnsi="Bookman Old Style"/>
          <w:sz w:val="26"/>
        </w:rPr>
        <w:t>o the plaintiff.</w:t>
      </w:r>
    </w:p>
    <w:p w:rsidR="00000000" w:rsidRDefault="00A863E3">
      <w:pPr>
        <w:pStyle w:val="PlainText"/>
        <w:spacing w:line="360" w:lineRule="auto"/>
        <w:jc w:val="both"/>
        <w:rPr>
          <w:rFonts w:ascii="Bookman Old Style" w:hAnsi="Bookman Old Style"/>
          <w:sz w:val="26"/>
        </w:rPr>
      </w:pPr>
    </w:p>
    <w:p w:rsidR="00000000" w:rsidRDefault="00A863E3">
      <w:pPr>
        <w:pStyle w:val="PlainText"/>
        <w:spacing w:line="360" w:lineRule="auto"/>
        <w:jc w:val="both"/>
        <w:rPr>
          <w:rFonts w:ascii="Bookman Old Style" w:hAnsi="Bookman Old Style"/>
          <w:sz w:val="26"/>
        </w:rPr>
      </w:pPr>
      <w:r>
        <w:rPr>
          <w:rFonts w:ascii="Bookman Old Style" w:hAnsi="Bookman Old Style"/>
          <w:sz w:val="26"/>
        </w:rPr>
        <w:t>If you decide that all three of these things are more likely true than not true, then you must decide in favor of the plaintiff on this claim.</w:t>
      </w:r>
    </w:p>
    <w:p w:rsidR="00000000" w:rsidRDefault="00A863E3">
      <w:pPr>
        <w:pStyle w:val="PlainText"/>
        <w:spacing w:line="360" w:lineRule="auto"/>
        <w:jc w:val="both"/>
        <w:rPr>
          <w:rFonts w:ascii="Bookman Old Style" w:hAnsi="Bookman Old Style"/>
          <w:sz w:val="26"/>
        </w:rPr>
      </w:pPr>
    </w:p>
    <w:p w:rsidR="00000000" w:rsidRDefault="00A863E3">
      <w:pPr>
        <w:pStyle w:val="PlainText"/>
        <w:spacing w:line="360" w:lineRule="auto"/>
        <w:jc w:val="both"/>
        <w:rPr>
          <w:rFonts w:ascii="Bookman Old Style" w:hAnsi="Bookman Old Style"/>
          <w:sz w:val="26"/>
        </w:rPr>
      </w:pPr>
      <w:r>
        <w:rPr>
          <w:rFonts w:ascii="Bookman Old Style" w:hAnsi="Bookman Old Style"/>
          <w:sz w:val="26"/>
        </w:rPr>
        <w:t>Otherwise, you must decide in favor of the defendant.</w:t>
      </w:r>
    </w:p>
    <w:p w:rsidR="00000000" w:rsidRDefault="00A863E3">
      <w:pPr>
        <w:pStyle w:val="PlainText"/>
        <w:spacing w:line="360" w:lineRule="auto"/>
        <w:jc w:val="both"/>
        <w:rPr>
          <w:rFonts w:ascii="Bookman Old Style" w:hAnsi="Bookman Old Style"/>
          <w:sz w:val="26"/>
        </w:rPr>
      </w:pPr>
    </w:p>
    <w:p w:rsidR="00000000" w:rsidRDefault="00A863E3">
      <w:pPr>
        <w:pStyle w:val="PlainText"/>
        <w:spacing w:line="360" w:lineRule="auto"/>
        <w:jc w:val="both"/>
        <w:rPr>
          <w:rFonts w:ascii="Bookman Old Style" w:hAnsi="Bookman Old Style"/>
          <w:sz w:val="26"/>
        </w:rPr>
      </w:pPr>
      <w:r>
        <w:rPr>
          <w:rFonts w:ascii="Bookman Old Style" w:hAnsi="Bookman Old Style"/>
          <w:sz w:val="26"/>
        </w:rPr>
        <w:t xml:space="preserve">I will define legal cause for you in a </w:t>
      </w:r>
      <w:r>
        <w:rPr>
          <w:rFonts w:ascii="Bookman Old Style" w:hAnsi="Bookman Old Style"/>
          <w:sz w:val="26"/>
        </w:rPr>
        <w:t>moment.</w:t>
      </w:r>
    </w:p>
    <w:p w:rsidR="00000000" w:rsidRDefault="00A863E3">
      <w:pPr>
        <w:pStyle w:val="PlainText"/>
        <w:spacing w:line="360" w:lineRule="auto"/>
        <w:jc w:val="both"/>
        <w:rPr>
          <w:rFonts w:ascii="Bookman Old Style" w:hAnsi="Bookman Old Style"/>
          <w:sz w:val="26"/>
        </w:rPr>
      </w:pPr>
    </w:p>
    <w:p w:rsidR="00000000" w:rsidRDefault="00A863E3">
      <w:pPr>
        <w:pStyle w:val="PlainText"/>
        <w:spacing w:line="360" w:lineRule="auto"/>
        <w:jc w:val="both"/>
        <w:rPr>
          <w:rFonts w:ascii="Bookman Old Style" w:hAnsi="Bookman Old Style"/>
          <w:sz w:val="26"/>
        </w:rPr>
      </w:pPr>
      <w:r>
        <w:rPr>
          <w:rFonts w:ascii="Bookman Old Style" w:hAnsi="Bookman Old Style"/>
          <w:sz w:val="26"/>
        </w:rPr>
        <w:t>[The inference was intentional if the defendant acted  for the purpose of causing it, or knew it was resulting or substantially certain to result from [his] [her] conduct.</w:t>
      </w:r>
    </w:p>
    <w:p w:rsidR="00000000" w:rsidRDefault="00A863E3">
      <w:pPr>
        <w:pStyle w:val="PlainText"/>
        <w:spacing w:line="360" w:lineRule="auto"/>
        <w:jc w:val="both"/>
        <w:rPr>
          <w:rFonts w:ascii="Bookman Old Style" w:hAnsi="Bookman Old Style"/>
          <w:sz w:val="26"/>
        </w:rPr>
      </w:pPr>
    </w:p>
    <w:p w:rsidR="00000000" w:rsidRDefault="00A863E3">
      <w:pPr>
        <w:pStyle w:val="PlainText"/>
        <w:spacing w:line="360" w:lineRule="auto"/>
        <w:jc w:val="both"/>
        <w:rPr>
          <w:rFonts w:ascii="Bookman Old Style" w:hAnsi="Bookman Old Style"/>
          <w:sz w:val="26"/>
        </w:rPr>
      </w:pPr>
      <w:r>
        <w:rPr>
          <w:rFonts w:ascii="Bookman Old Style" w:hAnsi="Bookman Old Style"/>
          <w:sz w:val="26"/>
        </w:rPr>
        <w:t>The interference was unreasonable if the seriousness of the harm to the pl</w:t>
      </w:r>
      <w:r>
        <w:rPr>
          <w:rFonts w:ascii="Bookman Old Style" w:hAnsi="Bookman Old Style"/>
          <w:sz w:val="26"/>
        </w:rPr>
        <w:t>aintiff outweighs the usefulness of the defendant's conduct.]</w:t>
      </w:r>
    </w:p>
    <w:p w:rsidR="00000000" w:rsidRDefault="00A863E3">
      <w:pPr>
        <w:pStyle w:val="PlainText"/>
        <w:spacing w:line="360" w:lineRule="auto"/>
        <w:jc w:val="both"/>
        <w:rPr>
          <w:rFonts w:ascii="Bookman Old Style" w:hAnsi="Bookman Old Style"/>
          <w:sz w:val="26"/>
        </w:rPr>
      </w:pPr>
    </w:p>
    <w:p w:rsidR="00000000" w:rsidRDefault="00A863E3">
      <w:pPr>
        <w:pStyle w:val="PlainText"/>
        <w:spacing w:line="360" w:lineRule="auto"/>
        <w:jc w:val="both"/>
        <w:rPr>
          <w:rFonts w:ascii="Bookman Old Style" w:hAnsi="Bookman Old Style"/>
          <w:sz w:val="26"/>
        </w:rPr>
      </w:pPr>
      <w:r>
        <w:rPr>
          <w:rFonts w:ascii="Bookman Old Style" w:hAnsi="Bookman Old Style"/>
          <w:sz w:val="26"/>
        </w:rPr>
        <w:t>[The defendant's conduct was [negligent if the interference occurred because the defendant failed to exercise reasonable care.  Reasonable care is the care that a reasonably prudent person woul</w:t>
      </w:r>
      <w:r>
        <w:rPr>
          <w:rFonts w:ascii="Bookman Old Style" w:hAnsi="Bookman Old Style"/>
          <w:sz w:val="26"/>
        </w:rPr>
        <w:t>d have exercised under similar circumstances.]  [reckless if the defendant intentionally acted or failed to act under circumstances where the defendant knew or a reasonable person would know that the act or failure to act created an extreme risk that the i</w:t>
      </w:r>
      <w:r>
        <w:rPr>
          <w:rFonts w:ascii="Bookman Old Style" w:hAnsi="Bookman Old Style"/>
          <w:sz w:val="26"/>
        </w:rPr>
        <w:t>nterference would occur.]]</w:t>
      </w:r>
    </w:p>
    <w:p w:rsidR="00000000" w:rsidRDefault="00A863E3">
      <w:pPr>
        <w:pStyle w:val="PlainText"/>
        <w:spacing w:line="360" w:lineRule="auto"/>
        <w:jc w:val="both"/>
        <w:rPr>
          <w:rFonts w:ascii="Bookman Old Style" w:hAnsi="Bookman Old Style"/>
          <w:sz w:val="26"/>
        </w:rPr>
      </w:pPr>
    </w:p>
    <w:p w:rsidR="00000000" w:rsidRDefault="00A863E3">
      <w:pPr>
        <w:pStyle w:val="PlainText"/>
        <w:spacing w:line="360" w:lineRule="auto"/>
        <w:jc w:val="both"/>
        <w:rPr>
          <w:rFonts w:ascii="Bookman Old Style" w:hAnsi="Bookman Old Style"/>
          <w:sz w:val="26"/>
        </w:rPr>
      </w:pPr>
      <w:r>
        <w:rPr>
          <w:rFonts w:ascii="Bookman Old Style" w:hAnsi="Bookman Old Style"/>
          <w:sz w:val="26"/>
        </w:rPr>
        <w:t>A significant harm is a harm that a reasonable person would regard as important and involving more than slight inconvenience or petty annoyance.  It must also be of a kind that would be suffered by a normal person in the communi</w:t>
      </w:r>
      <w:r>
        <w:rPr>
          <w:rFonts w:ascii="Bookman Old Style" w:hAnsi="Bookman Old Style"/>
          <w:sz w:val="26"/>
        </w:rPr>
        <w:t>ty or by property in normal condition and used for a normal purpose.</w:t>
      </w:r>
    </w:p>
    <w:p w:rsidR="00000000" w:rsidRDefault="00A863E3">
      <w:pPr>
        <w:pStyle w:val="PlainText"/>
        <w:spacing w:line="360" w:lineRule="auto"/>
        <w:jc w:val="both"/>
        <w:rPr>
          <w:rFonts w:ascii="Bookman Old Style" w:hAnsi="Bookman Old Style"/>
          <w:sz w:val="26"/>
        </w:rPr>
      </w:pPr>
    </w:p>
    <w:p w:rsidR="00000000" w:rsidRDefault="00A863E3">
      <w:pPr>
        <w:pStyle w:val="PlainText"/>
        <w:jc w:val="center"/>
        <w:rPr>
          <w:rFonts w:ascii="Bookman Old Style" w:hAnsi="Bookman Old Style"/>
          <w:sz w:val="26"/>
          <w:u w:val="single"/>
        </w:rPr>
      </w:pPr>
      <w:r>
        <w:rPr>
          <w:rFonts w:ascii="Bookman Old Style" w:hAnsi="Bookman Old Style"/>
          <w:sz w:val="26"/>
          <w:u w:val="single"/>
        </w:rPr>
        <w:t>Use Note</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 xml:space="preserve">This instruction is to be used when private nuisance is alleged and denied.  Instruction 13.09 should be given when private damage from a public nuisance is claimed.  </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The Res</w:t>
      </w:r>
      <w:r>
        <w:rPr>
          <w:rFonts w:ascii="Bookman Old Style" w:hAnsi="Bookman Old Style"/>
          <w:sz w:val="26"/>
        </w:rPr>
        <w:t xml:space="preserve">tatement lists factors to be considered in determining the gravity of the harm to the plaintiff and the utility of the defendant's conduct.  Counsel should consider listing these factors in the instruction to give additional guidance to the jury.  </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Accord</w:t>
      </w:r>
      <w:r>
        <w:rPr>
          <w:rFonts w:ascii="Bookman Old Style" w:hAnsi="Bookman Old Style"/>
          <w:sz w:val="26"/>
        </w:rPr>
        <w:t>ing to the Restatement, the following factors are important in determining the gravity of the plaintiff's harm:</w:t>
      </w:r>
    </w:p>
    <w:p w:rsidR="00000000" w:rsidRDefault="00A863E3">
      <w:pPr>
        <w:pStyle w:val="PlainText"/>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(a)</w:t>
      </w:r>
      <w:r>
        <w:rPr>
          <w:rFonts w:ascii="Bookman Old Style" w:hAnsi="Bookman Old Style"/>
          <w:sz w:val="26"/>
        </w:rPr>
        <w:tab/>
        <w:t>the extent of the harm involved;</w:t>
      </w: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(b)</w:t>
      </w:r>
      <w:r>
        <w:rPr>
          <w:rFonts w:ascii="Bookman Old Style" w:hAnsi="Bookman Old Style"/>
          <w:sz w:val="26"/>
        </w:rPr>
        <w:tab/>
        <w:t>the character of the harm involved;</w:t>
      </w:r>
    </w:p>
    <w:p w:rsidR="00000000" w:rsidRDefault="00A863E3">
      <w:pPr>
        <w:pStyle w:val="PlainText"/>
        <w:ind w:left="1440" w:right="720" w:hanging="720"/>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(c)</w:t>
      </w:r>
      <w:r>
        <w:rPr>
          <w:rFonts w:ascii="Bookman Old Style" w:hAnsi="Bookman Old Style"/>
          <w:sz w:val="26"/>
        </w:rPr>
        <w:tab/>
        <w:t xml:space="preserve">the social value that the law attached to the type of use or </w:t>
      </w:r>
      <w:r>
        <w:rPr>
          <w:rFonts w:ascii="Bookman Old Style" w:hAnsi="Bookman Old Style"/>
          <w:sz w:val="26"/>
        </w:rPr>
        <w:t>enjoyment invaded;</w:t>
      </w:r>
    </w:p>
    <w:p w:rsidR="00000000" w:rsidRDefault="00A863E3">
      <w:pPr>
        <w:pStyle w:val="PlainText"/>
        <w:ind w:left="720" w:right="720" w:hanging="720"/>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(d)</w:t>
      </w:r>
      <w:r>
        <w:rPr>
          <w:rFonts w:ascii="Bookman Old Style" w:hAnsi="Bookman Old Style"/>
          <w:sz w:val="26"/>
        </w:rPr>
        <w:tab/>
        <w:t xml:space="preserve">the suitability of the particular use or enjoyment to the character of the locality; and </w:t>
      </w:r>
    </w:p>
    <w:p w:rsidR="00000000" w:rsidRDefault="00A863E3">
      <w:pPr>
        <w:pStyle w:val="PlainText"/>
        <w:ind w:left="1440" w:right="720"/>
        <w:jc w:val="both"/>
        <w:rPr>
          <w:rFonts w:ascii="Bookman Old Style" w:hAnsi="Bookman Old Style"/>
          <w:sz w:val="26"/>
        </w:rPr>
      </w:pPr>
    </w:p>
    <w:p w:rsidR="00000000" w:rsidRDefault="00A863E3">
      <w:pPr>
        <w:pStyle w:val="PlainText"/>
        <w:ind w:left="1440" w:right="720"/>
        <w:jc w:val="both"/>
        <w:rPr>
          <w:rFonts w:ascii="Bookman Old Style" w:hAnsi="Bookman Old Style"/>
          <w:sz w:val="26"/>
        </w:rPr>
      </w:pPr>
      <w:r>
        <w:rPr>
          <w:rFonts w:ascii="Bookman Old Style" w:hAnsi="Bookman Old Style"/>
          <w:sz w:val="26"/>
        </w:rPr>
        <w:t>(e)</w:t>
      </w:r>
      <w:r>
        <w:rPr>
          <w:rFonts w:ascii="Bookman Old Style" w:hAnsi="Bookman Old Style"/>
          <w:sz w:val="26"/>
        </w:rPr>
        <w:tab/>
        <w:t>the burden on the person harmed of avoiding the harm.</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Restatement (Second) of Torts § 826 (1979).  The following factors are important i</w:t>
      </w:r>
      <w:r>
        <w:rPr>
          <w:rFonts w:ascii="Bookman Old Style" w:hAnsi="Bookman Old Style"/>
          <w:sz w:val="26"/>
        </w:rPr>
        <w:t xml:space="preserve">n determining the utility of the defendant's conduct: </w:t>
      </w:r>
    </w:p>
    <w:p w:rsidR="00000000" w:rsidRDefault="00A863E3">
      <w:pPr>
        <w:pStyle w:val="PlainText"/>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(a)</w:t>
      </w:r>
      <w:r>
        <w:rPr>
          <w:rFonts w:ascii="Bookman Old Style" w:hAnsi="Bookman Old Style"/>
          <w:sz w:val="26"/>
        </w:rPr>
        <w:tab/>
        <w:t>the social value that the law attaches to the primary purpose of the conduct;</w:t>
      </w:r>
    </w:p>
    <w:p w:rsidR="00000000" w:rsidRDefault="00A863E3">
      <w:pPr>
        <w:pStyle w:val="PlainText"/>
        <w:ind w:left="1440" w:right="720" w:hanging="720"/>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(b)</w:t>
      </w:r>
      <w:r>
        <w:rPr>
          <w:rFonts w:ascii="Bookman Old Style" w:hAnsi="Bookman Old Style"/>
          <w:sz w:val="26"/>
        </w:rPr>
        <w:tab/>
        <w:t>the suitability of the conduct to the character of the locality;</w:t>
      </w:r>
    </w:p>
    <w:p w:rsidR="00000000" w:rsidRDefault="00A863E3">
      <w:pPr>
        <w:pStyle w:val="PlainText"/>
        <w:ind w:left="1440" w:right="720" w:hanging="720"/>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(c)</w:t>
      </w:r>
      <w:r>
        <w:rPr>
          <w:rFonts w:ascii="Bookman Old Style" w:hAnsi="Bookman Old Style"/>
          <w:sz w:val="26"/>
        </w:rPr>
        <w:tab/>
        <w:t>The impracticability of preventing or avoid</w:t>
      </w:r>
      <w:r>
        <w:rPr>
          <w:rFonts w:ascii="Bookman Old Style" w:hAnsi="Bookman Old Style"/>
          <w:sz w:val="26"/>
        </w:rPr>
        <w:t>ing the invasion.</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 xml:space="preserve">Restatement (Second) of Torts § 828 (1979).   </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This instruction should also be given for an allegation that the interference was the result of an abnormally dangerous activity.  Whether an activity is abnormally dangerous is to be deter</w:t>
      </w:r>
      <w:r>
        <w:rPr>
          <w:rFonts w:ascii="Bookman Old Style" w:hAnsi="Bookman Old Style"/>
          <w:sz w:val="26"/>
        </w:rPr>
        <w:t>mined by the court based on the following factors:</w:t>
      </w:r>
    </w:p>
    <w:p w:rsidR="00000000" w:rsidRDefault="00A863E3">
      <w:pPr>
        <w:pStyle w:val="PlainText"/>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(a)</w:t>
      </w:r>
      <w:r>
        <w:rPr>
          <w:rFonts w:ascii="Bookman Old Style" w:hAnsi="Bookman Old Style"/>
          <w:sz w:val="26"/>
        </w:rPr>
        <w:tab/>
        <w:t>existence of a high degree of risk of some harm to the person, land or chattels of others;</w:t>
      </w:r>
    </w:p>
    <w:p w:rsidR="00000000" w:rsidRDefault="00A863E3">
      <w:pPr>
        <w:pStyle w:val="PlainText"/>
        <w:ind w:left="1440" w:right="720" w:hanging="720"/>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(b)</w:t>
      </w:r>
      <w:r>
        <w:rPr>
          <w:rFonts w:ascii="Bookman Old Style" w:hAnsi="Bookman Old Style"/>
          <w:sz w:val="26"/>
        </w:rPr>
        <w:tab/>
        <w:t>likelihood that the harm that results from it will be great;</w:t>
      </w:r>
    </w:p>
    <w:p w:rsidR="00000000" w:rsidRDefault="00A863E3">
      <w:pPr>
        <w:pStyle w:val="PlainText"/>
        <w:ind w:left="1440" w:right="720" w:hanging="720"/>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(c)</w:t>
      </w:r>
      <w:r>
        <w:rPr>
          <w:rFonts w:ascii="Bookman Old Style" w:hAnsi="Bookman Old Style"/>
          <w:sz w:val="26"/>
        </w:rPr>
        <w:tab/>
        <w:t>inability to eliminate the risk by the</w:t>
      </w:r>
      <w:r>
        <w:rPr>
          <w:rFonts w:ascii="Bookman Old Style" w:hAnsi="Bookman Old Style"/>
          <w:sz w:val="26"/>
        </w:rPr>
        <w:t xml:space="preserve"> exercise of reasonable care;</w:t>
      </w:r>
    </w:p>
    <w:p w:rsidR="00000000" w:rsidRDefault="00A863E3">
      <w:pPr>
        <w:pStyle w:val="PlainText"/>
        <w:ind w:left="1440" w:right="720" w:hanging="720"/>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(d)</w:t>
      </w:r>
      <w:r>
        <w:rPr>
          <w:rFonts w:ascii="Bookman Old Style" w:hAnsi="Bookman Old Style"/>
          <w:sz w:val="26"/>
        </w:rPr>
        <w:tab/>
        <w:t>extent to which the activity is not a matter of common usage;</w:t>
      </w:r>
    </w:p>
    <w:p w:rsidR="00000000" w:rsidRDefault="00A863E3">
      <w:pPr>
        <w:pStyle w:val="PlainText"/>
        <w:ind w:left="1440" w:right="720" w:hanging="720"/>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(e)</w:t>
      </w:r>
      <w:r>
        <w:rPr>
          <w:rFonts w:ascii="Bookman Old Style" w:hAnsi="Bookman Old Style"/>
          <w:sz w:val="26"/>
        </w:rPr>
        <w:tab/>
        <w:t>inappropriateness of the activity to the place where it is carried on; and</w:t>
      </w:r>
    </w:p>
    <w:p w:rsidR="00000000" w:rsidRDefault="00A863E3">
      <w:pPr>
        <w:pStyle w:val="PlainText"/>
        <w:ind w:left="1440" w:right="720" w:hanging="720"/>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(f)</w:t>
      </w:r>
      <w:r>
        <w:rPr>
          <w:rFonts w:ascii="Bookman Old Style" w:hAnsi="Bookman Old Style"/>
          <w:sz w:val="26"/>
        </w:rPr>
        <w:tab/>
        <w:t xml:space="preserve">extent to which its value to the community is outweighed by its dangerous </w:t>
      </w:r>
      <w:r>
        <w:rPr>
          <w:rFonts w:ascii="Bookman Old Style" w:hAnsi="Bookman Old Style"/>
          <w:sz w:val="26"/>
        </w:rPr>
        <w:t>attributes.</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Restatement (Second) of Torts § 520 (1965).  In a case in which the court determines that the defendant was engaged in abnormally dangerous activity, the second element of this instruction must be modified or eliminated.</w:t>
      </w:r>
    </w:p>
    <w:p w:rsidR="00000000" w:rsidRDefault="00A863E3">
      <w:pPr>
        <w:pStyle w:val="PlainText"/>
        <w:jc w:val="both"/>
        <w:rPr>
          <w:rFonts w:ascii="Bookman Old Style" w:hAnsi="Bookman Old Style"/>
          <w:sz w:val="26"/>
        </w:rPr>
      </w:pPr>
    </w:p>
    <w:p w:rsidR="00000000" w:rsidRDefault="00A863E3">
      <w:pPr>
        <w:pStyle w:val="PlainText"/>
        <w:jc w:val="center"/>
        <w:rPr>
          <w:rFonts w:ascii="Bookman Old Style" w:hAnsi="Bookman Old Style"/>
          <w:sz w:val="26"/>
          <w:u w:val="single"/>
        </w:rPr>
      </w:pPr>
      <w:r>
        <w:rPr>
          <w:rFonts w:ascii="Bookman Old Style" w:hAnsi="Bookman Old Style"/>
          <w:sz w:val="26"/>
          <w:u w:val="single"/>
        </w:rPr>
        <w:t>Comment</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AS 09.45.230</w:t>
      </w:r>
      <w:r>
        <w:rPr>
          <w:rFonts w:ascii="Bookman Old Style" w:hAnsi="Bookman Old Style"/>
          <w:sz w:val="26"/>
        </w:rPr>
        <w:t xml:space="preserve"> allows a "person to bring a civil action to enjoin or abate a private nuisance" and to receive damages.  Injunction and abatement are traditionally equity matters for the court to decide.  It is only when damages are claimed that the case goes to the jury</w:t>
      </w:r>
      <w:r>
        <w:rPr>
          <w:rFonts w:ascii="Bookman Old Style" w:hAnsi="Bookman Old Style"/>
          <w:sz w:val="26"/>
        </w:rPr>
        <w:t>.</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The private nuisance statute and Alaska cases are silent as to what interest a plaintiff must have in property in order to sue for loss of its use or enjoyment.  At common law, there is liability only to those who have property rights and privileges wit</w:t>
      </w:r>
      <w:r>
        <w:rPr>
          <w:rFonts w:ascii="Bookman Old Style" w:hAnsi="Bookman Old Style"/>
          <w:sz w:val="26"/>
        </w:rPr>
        <w:t>h respect to the use and enjoyment of the land affected, including:</w:t>
      </w:r>
    </w:p>
    <w:p w:rsidR="00000000" w:rsidRDefault="00A863E3">
      <w:pPr>
        <w:pStyle w:val="PlainText"/>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(a)</w:t>
      </w:r>
      <w:r>
        <w:rPr>
          <w:rFonts w:ascii="Bookman Old Style" w:hAnsi="Bookman Old Style"/>
          <w:sz w:val="26"/>
        </w:rPr>
        <w:tab/>
        <w:t>possessors of the land;</w:t>
      </w:r>
    </w:p>
    <w:p w:rsidR="00000000" w:rsidRDefault="00A863E3">
      <w:pPr>
        <w:pStyle w:val="PlainText"/>
        <w:ind w:left="1440" w:right="720" w:hanging="720"/>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(b)</w:t>
      </w:r>
      <w:r>
        <w:rPr>
          <w:rFonts w:ascii="Bookman Old Style" w:hAnsi="Bookman Old Style"/>
          <w:sz w:val="26"/>
        </w:rPr>
        <w:tab/>
        <w:t>owners of easements and profits in the land, and</w:t>
      </w:r>
    </w:p>
    <w:p w:rsidR="00000000" w:rsidRDefault="00A863E3">
      <w:pPr>
        <w:pStyle w:val="PlainText"/>
        <w:ind w:left="1440" w:right="720" w:hanging="720"/>
        <w:jc w:val="both"/>
        <w:rPr>
          <w:rFonts w:ascii="Bookman Old Style" w:hAnsi="Bookman Old Style"/>
          <w:sz w:val="26"/>
        </w:rPr>
      </w:pPr>
    </w:p>
    <w:p w:rsidR="00000000" w:rsidRDefault="00A863E3">
      <w:pPr>
        <w:pStyle w:val="PlainText"/>
        <w:ind w:left="1440" w:right="720" w:hanging="720"/>
        <w:jc w:val="both"/>
        <w:rPr>
          <w:rFonts w:ascii="Bookman Old Style" w:hAnsi="Bookman Old Style"/>
          <w:sz w:val="26"/>
        </w:rPr>
      </w:pPr>
      <w:r>
        <w:rPr>
          <w:rFonts w:ascii="Bookman Old Style" w:hAnsi="Bookman Old Style"/>
          <w:sz w:val="26"/>
        </w:rPr>
        <w:t>(c)</w:t>
      </w:r>
      <w:r>
        <w:rPr>
          <w:rFonts w:ascii="Bookman Old Style" w:hAnsi="Bookman Old Style"/>
          <w:sz w:val="26"/>
        </w:rPr>
        <w:tab/>
        <w:t>owners of nonpossessory estates in the land that are detrimentally affected by interferences with it</w:t>
      </w:r>
      <w:r>
        <w:rPr>
          <w:rFonts w:ascii="Bookman Old Style" w:hAnsi="Bookman Old Style"/>
          <w:sz w:val="26"/>
        </w:rPr>
        <w:t>s use and enjoyment.</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Restatement (Second) of Torts § 821E (1979).</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AS 09.45.255 defines nuisance as ". . . a substantial and unreasonable interference with the use or enjoyment of real property, including water."  The statute does not give any guidance as</w:t>
      </w:r>
      <w:r>
        <w:rPr>
          <w:rFonts w:ascii="Bookman Old Style" w:hAnsi="Bookman Old Style"/>
          <w:sz w:val="26"/>
        </w:rPr>
        <w:t xml:space="preserve"> to what constitutes substantial or unreasonable interference.  Therefore, this instruction follows the approach taken by the Restatement.  </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According to the Restatement, whether an interference was unreasonable is determined by use of a balancing test: i</w:t>
      </w:r>
      <w:r>
        <w:rPr>
          <w:rFonts w:ascii="Bookman Old Style" w:hAnsi="Bookman Old Style"/>
          <w:sz w:val="26"/>
        </w:rPr>
        <w:t>f the gravity of the harm outweighs the utility of the conduct, the invasion is unreasonable.  Restatement (Second) of Torts § 826 (1979).</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 xml:space="preserve">The Restatement requires "significant harm, of a kind that would be suffered by a normal person in the community or </w:t>
      </w:r>
      <w:r>
        <w:rPr>
          <w:rFonts w:ascii="Bookman Old Style" w:hAnsi="Bookman Old Style"/>
          <w:sz w:val="26"/>
        </w:rPr>
        <w:t>by property in normal condition and used for a normal purpose."  Restatement (Second) of Torts § 821F (1979).</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 xml:space="preserve">The Restatement describes "significant" as ". . . harm of importance, involving more than slight inconvenience or petty annoyance."  Restatement </w:t>
      </w:r>
      <w:r>
        <w:rPr>
          <w:rFonts w:ascii="Bookman Old Style" w:hAnsi="Bookman Old Style"/>
          <w:sz w:val="26"/>
        </w:rPr>
        <w:t>(Second) of Torts § 821F, Comment c (1979). There must be "a real and appreciable invasion of the plaintiff's interests . . . ."  Restatement (Second) of Torts § 821F, Comment c (1979).</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r>
        <w:rPr>
          <w:rFonts w:ascii="Bookman Old Style" w:hAnsi="Bookman Old Style"/>
          <w:sz w:val="26"/>
        </w:rPr>
        <w:t>Private nuisance is distinguished from public nuisance in that a publ</w:t>
      </w:r>
      <w:r>
        <w:rPr>
          <w:rFonts w:ascii="Bookman Old Style" w:hAnsi="Bookman Old Style"/>
          <w:sz w:val="26"/>
        </w:rPr>
        <w:t xml:space="preserve">ic nuisance plaintiff must show:  1) that the defendant's act would be injurious to those who came in contact with it in the exercise of a common or public right, </w:t>
      </w:r>
      <w:r>
        <w:rPr>
          <w:rFonts w:ascii="Bookman Old Style" w:hAnsi="Bookman Old Style"/>
          <w:sz w:val="26"/>
          <w:u w:val="single"/>
        </w:rPr>
        <w:t>Maier v. Ketchikan</w:t>
      </w:r>
      <w:r>
        <w:rPr>
          <w:rFonts w:ascii="Bookman Old Style" w:hAnsi="Bookman Old Style"/>
          <w:sz w:val="26"/>
        </w:rPr>
        <w:t>, 403 P.2d 34, 38 (Alaska 1965); and 2) that the ". . . injury suffered was</w:t>
      </w:r>
      <w:r>
        <w:rPr>
          <w:rFonts w:ascii="Bookman Old Style" w:hAnsi="Bookman Old Style"/>
          <w:sz w:val="26"/>
        </w:rPr>
        <w:t xml:space="preserve"> different in kind and not in degree from that sustained by the general public . . . ."  </w:t>
      </w:r>
      <w:r>
        <w:rPr>
          <w:rFonts w:ascii="Bookman Old Style" w:hAnsi="Bookman Old Style"/>
          <w:sz w:val="26"/>
          <w:u w:val="single"/>
        </w:rPr>
        <w:t>Snyder v. Kelter</w:t>
      </w:r>
      <w:r>
        <w:rPr>
          <w:rFonts w:ascii="Bookman Old Style" w:hAnsi="Bookman Old Style"/>
          <w:sz w:val="26"/>
        </w:rPr>
        <w:t>, 4 Alaska 447 (Alaska 1912).</w:t>
      </w:r>
    </w:p>
    <w:p w:rsidR="00000000" w:rsidRDefault="00A863E3">
      <w:pPr>
        <w:pStyle w:val="PlainText"/>
        <w:jc w:val="both"/>
        <w:rPr>
          <w:rFonts w:ascii="Bookman Old Style" w:hAnsi="Bookman Old Style"/>
          <w:sz w:val="26"/>
        </w:rPr>
      </w:pPr>
    </w:p>
    <w:p w:rsidR="00000000" w:rsidRDefault="00A863E3">
      <w:pPr>
        <w:pStyle w:val="PlainText"/>
        <w:jc w:val="both"/>
        <w:rPr>
          <w:rFonts w:ascii="Bookman Old Style" w:hAnsi="Bookman Old Style"/>
          <w:sz w:val="26"/>
        </w:rPr>
      </w:pPr>
    </w:p>
    <w:sectPr w:rsidR="0000000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63E3">
      <w:r>
        <w:separator/>
      </w:r>
    </w:p>
  </w:endnote>
  <w:endnote w:type="continuationSeparator" w:id="0">
    <w:p w:rsidR="00000000" w:rsidRDefault="00A8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63E3">
    <w:pPr>
      <w:pStyle w:val="Footer"/>
      <w:tabs>
        <w:tab w:val="clear" w:pos="8640"/>
        <w:tab w:val="right" w:pos="9180"/>
      </w:tabs>
      <w:rPr>
        <w:rFonts w:ascii="Bookman Old Style" w:hAnsi="Bookman Old Style"/>
        <w:sz w:val="24"/>
      </w:rPr>
    </w:pPr>
    <w:r>
      <w:rPr>
        <w:rFonts w:ascii="Bookman Old Style" w:hAnsi="Bookman Old Style"/>
        <w:sz w:val="24"/>
      </w:rPr>
      <w:t>Revised 1996</w:t>
    </w:r>
    <w:r>
      <w:rPr>
        <w:rFonts w:ascii="Bookman Old Style" w:hAnsi="Bookman Old Style"/>
        <w:sz w:val="24"/>
      </w:rPr>
      <w:tab/>
    </w:r>
    <w:r>
      <w:rPr>
        <w:rFonts w:ascii="Bookman Old Style" w:hAnsi="Bookman Old Style"/>
        <w:sz w:val="24"/>
      </w:rPr>
      <w:tab/>
      <w:t xml:space="preserve">13.08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C222E6">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63E3">
      <w:r>
        <w:separator/>
      </w:r>
    </w:p>
  </w:footnote>
  <w:footnote w:type="continuationSeparator" w:id="0">
    <w:p w:rsidR="00000000" w:rsidRDefault="00A86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E6"/>
    <w:rsid w:val="00A863E3"/>
    <w:rsid w:val="00C2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13</vt:lpstr>
    </vt:vector>
  </TitlesOfParts>
  <Company>Alaska Court System</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korzechowski</dc:creator>
  <cp:keywords/>
  <cp:lastModifiedBy>Michael Merrington</cp:lastModifiedBy>
  <cp:revision>3</cp:revision>
  <cp:lastPrinted>2000-08-21T23:49:00Z</cp:lastPrinted>
  <dcterms:created xsi:type="dcterms:W3CDTF">2017-04-04T18:50:00Z</dcterms:created>
  <dcterms:modified xsi:type="dcterms:W3CDTF">2017-04-04T18:50:00Z</dcterms:modified>
</cp:coreProperties>
</file>