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620F">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13.09</w:t>
      </w:r>
      <w:r>
        <w:rPr>
          <w:rFonts w:ascii="Bookman Old Style" w:hAnsi="Bookman Old Style"/>
          <w:b/>
          <w:sz w:val="26"/>
        </w:rPr>
        <w:tab/>
        <w:t>PUBLIC NUISANCE - PRIVATE DAMAGES</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The plaintiff claims that the defendant has created a public nuisance that has caused plaintiff injury.</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To determine whether the defendant has created a public nuisance that has caused plaintiff injury, you must d</w:t>
      </w:r>
      <w:r>
        <w:rPr>
          <w:rFonts w:ascii="Bookman Old Style" w:hAnsi="Bookman Old Style"/>
          <w:sz w:val="26"/>
        </w:rPr>
        <w:t>ecide whether it is more likely true than not true that:</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 interfered with a right that is common to the general public;</w:t>
      </w:r>
    </w:p>
    <w:p w:rsidR="00000000" w:rsidRDefault="0063620F">
      <w:pPr>
        <w:pStyle w:val="PlainText"/>
        <w:spacing w:line="360" w:lineRule="auto"/>
        <w:ind w:left="720" w:hanging="720"/>
        <w:jc w:val="both"/>
        <w:rPr>
          <w:rFonts w:ascii="Bookman Old Style" w:hAnsi="Bookman Old Style"/>
          <w:sz w:val="26"/>
        </w:rPr>
      </w:pPr>
    </w:p>
    <w:p w:rsidR="00000000" w:rsidRDefault="0063620F">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 xml:space="preserve">the interference was [intentional and unreasonable] [negligent] [reckless]; </w:t>
      </w:r>
    </w:p>
    <w:p w:rsidR="00000000" w:rsidRDefault="0063620F">
      <w:pPr>
        <w:pStyle w:val="PlainText"/>
        <w:spacing w:line="360" w:lineRule="auto"/>
        <w:ind w:left="720" w:hanging="720"/>
        <w:jc w:val="both"/>
        <w:rPr>
          <w:rFonts w:ascii="Bookman Old Style" w:hAnsi="Bookman Old Style"/>
          <w:sz w:val="26"/>
        </w:rPr>
      </w:pPr>
    </w:p>
    <w:p w:rsidR="00000000" w:rsidRDefault="0063620F">
      <w:pPr>
        <w:pStyle w:val="PlainText"/>
        <w:spacing w:line="360" w:lineRule="auto"/>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the interference was a legal ca</w:t>
      </w:r>
      <w:r>
        <w:rPr>
          <w:rFonts w:ascii="Bookman Old Style" w:hAnsi="Bookman Old Style"/>
          <w:sz w:val="26"/>
        </w:rPr>
        <w:t>use of significant harm to the plaintiff; and</w:t>
      </w:r>
    </w:p>
    <w:p w:rsidR="00000000" w:rsidRDefault="0063620F">
      <w:pPr>
        <w:pStyle w:val="PlainText"/>
        <w:spacing w:line="360" w:lineRule="auto"/>
        <w:ind w:left="720" w:hanging="720"/>
        <w:jc w:val="both"/>
        <w:rPr>
          <w:rFonts w:ascii="Bookman Old Style" w:hAnsi="Bookman Old Style"/>
          <w:sz w:val="26"/>
        </w:rPr>
      </w:pPr>
    </w:p>
    <w:p w:rsidR="00000000" w:rsidRDefault="0063620F">
      <w:pPr>
        <w:pStyle w:val="PlainText"/>
        <w:spacing w:line="360" w:lineRule="auto"/>
        <w:ind w:lef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the harm to the plaintiff was different in kind than the harm to the general public.</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If you decide that all four of these things are more likely true than not true, then you must decide in favor of the pl</w:t>
      </w:r>
      <w:r>
        <w:rPr>
          <w:rFonts w:ascii="Bookman Old Style" w:hAnsi="Bookman Old Style"/>
          <w:sz w:val="26"/>
        </w:rPr>
        <w:t>aintiff on this claim.</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Otherwise, you must decide in favor of the defendant.</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I will define legal cause for you in a moment.</w:t>
      </w: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lastRenderedPageBreak/>
        <w:t xml:space="preserve">[The interference was intentional if the defendant acted for the purpose of causing it, or knew it was resulting or substantially </w:t>
      </w:r>
      <w:r>
        <w:rPr>
          <w:rFonts w:ascii="Bookman Old Style" w:hAnsi="Bookman Old Style"/>
          <w:sz w:val="26"/>
        </w:rPr>
        <w:t>certain to result from [his] [her] conduct.</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The interference was unreasonable if the seriousness of the harm to the plaintiff outweighs the usefulness of the defendant's conduct.]</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[The defendant's conduct was [negligent if the interference occurred becau</w:t>
      </w:r>
      <w:r>
        <w:rPr>
          <w:rFonts w:ascii="Bookman Old Style" w:hAnsi="Bookman Old Style"/>
          <w:sz w:val="26"/>
        </w:rPr>
        <w:t>se the defendant failed to exercise reasonable care.  Reasonable care is the care that a reasonably prudent person would have exercised under similar circumstances.]  [reckless if the defendant intentionally acted or failed to act under circumstances where</w:t>
      </w:r>
      <w:r>
        <w:rPr>
          <w:rFonts w:ascii="Bookman Old Style" w:hAnsi="Bookman Old Style"/>
          <w:sz w:val="26"/>
        </w:rPr>
        <w:t xml:space="preserve"> the defendant knew or a reasonable person would know that the act or failure to act created an extreme risk that the interference would occur.]]</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r>
        <w:rPr>
          <w:rFonts w:ascii="Bookman Old Style" w:hAnsi="Bookman Old Style"/>
          <w:sz w:val="26"/>
        </w:rPr>
        <w:t>A significant harm is a harm that a reasonable person would regard as important and involving more than sligh</w:t>
      </w:r>
      <w:r>
        <w:rPr>
          <w:rFonts w:ascii="Bookman Old Style" w:hAnsi="Bookman Old Style"/>
          <w:sz w:val="26"/>
        </w:rPr>
        <w:t>t inconvenience or petty annoyance.  The harm to the plaintiff must be of a kind that would be suffered by a normal person in the community or by property in normal condition and used for a normal purpose.</w:t>
      </w:r>
    </w:p>
    <w:p w:rsidR="00000000" w:rsidRDefault="0063620F">
      <w:pPr>
        <w:pStyle w:val="PlainText"/>
        <w:spacing w:line="360" w:lineRule="auto"/>
        <w:jc w:val="both"/>
        <w:rPr>
          <w:rFonts w:ascii="Bookman Old Style" w:hAnsi="Bookman Old Style"/>
          <w:sz w:val="26"/>
        </w:rPr>
      </w:pPr>
    </w:p>
    <w:p w:rsidR="00000000" w:rsidRDefault="0063620F">
      <w:pPr>
        <w:pStyle w:val="PlainText"/>
        <w:spacing w:line="360" w:lineRule="auto"/>
        <w:jc w:val="both"/>
        <w:rPr>
          <w:rFonts w:ascii="Bookman Old Style" w:hAnsi="Bookman Old Style"/>
          <w:sz w:val="26"/>
        </w:rPr>
      </w:pPr>
    </w:p>
    <w:p w:rsidR="00000000" w:rsidRDefault="0063620F">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This instruction is to be used when th</w:t>
      </w:r>
      <w:r>
        <w:rPr>
          <w:rFonts w:ascii="Bookman Old Style" w:hAnsi="Bookman Old Style"/>
          <w:sz w:val="26"/>
        </w:rPr>
        <w:t xml:space="preserve">e plaintiff alleges private damage from a public nuisance.  Instruction 13.08 should be given when private nuisance is claimed.  </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For a description of what constitutes "unreasonable" in the context of "nuisance," see the discussion on the Use Note for Ins</w:t>
      </w:r>
      <w:r>
        <w:rPr>
          <w:rFonts w:ascii="Bookman Old Style" w:hAnsi="Bookman Old Style"/>
          <w:sz w:val="26"/>
        </w:rPr>
        <w:t>truction 13.08.</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This instruction should also be given for an allegation that the interference was the result of an abnormally dangerous activity.  Whether an activity is abnormally dangerous is to be determined by the court based on the following factors:</w:t>
      </w:r>
    </w:p>
    <w:p w:rsidR="00000000" w:rsidRDefault="0063620F">
      <w:pPr>
        <w:pStyle w:val="PlainText"/>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existence of a high degree of risk of some harm to the person, land or chattels of others;</w:t>
      </w:r>
    </w:p>
    <w:p w:rsidR="00000000" w:rsidRDefault="0063620F">
      <w:pPr>
        <w:pStyle w:val="PlainText"/>
        <w:ind w:left="1440" w:right="720" w:hanging="720"/>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likelihood that the harm that results from it will be great;</w:t>
      </w:r>
    </w:p>
    <w:p w:rsidR="00000000" w:rsidRDefault="0063620F">
      <w:pPr>
        <w:pStyle w:val="PlainText"/>
        <w:ind w:left="1440" w:right="720" w:hanging="720"/>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inability to eliminate the risk by the exercise of reasonable care;</w:t>
      </w:r>
    </w:p>
    <w:p w:rsidR="00000000" w:rsidRDefault="0063620F">
      <w:pPr>
        <w:pStyle w:val="PlainText"/>
        <w:ind w:left="1440" w:right="720" w:hanging="720"/>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extent to which</w:t>
      </w:r>
      <w:r>
        <w:rPr>
          <w:rFonts w:ascii="Bookman Old Style" w:hAnsi="Bookman Old Style"/>
          <w:sz w:val="26"/>
        </w:rPr>
        <w:t xml:space="preserve"> the activity is not a matter of common usage;</w:t>
      </w:r>
    </w:p>
    <w:p w:rsidR="00000000" w:rsidRDefault="0063620F">
      <w:pPr>
        <w:pStyle w:val="PlainText"/>
        <w:ind w:left="1440" w:right="720" w:hanging="720"/>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(e)</w:t>
      </w:r>
      <w:r>
        <w:rPr>
          <w:rFonts w:ascii="Bookman Old Style" w:hAnsi="Bookman Old Style"/>
          <w:sz w:val="26"/>
        </w:rPr>
        <w:tab/>
        <w:t>inappropriateness of the activity to the place where it is carried on; and</w:t>
      </w:r>
    </w:p>
    <w:p w:rsidR="00000000" w:rsidRDefault="0063620F">
      <w:pPr>
        <w:pStyle w:val="PlainText"/>
        <w:ind w:left="1440" w:right="720" w:hanging="720"/>
        <w:jc w:val="both"/>
        <w:rPr>
          <w:rFonts w:ascii="Bookman Old Style" w:hAnsi="Bookman Old Style"/>
          <w:sz w:val="26"/>
        </w:rPr>
      </w:pPr>
    </w:p>
    <w:p w:rsidR="00000000" w:rsidRDefault="0063620F">
      <w:pPr>
        <w:pStyle w:val="PlainText"/>
        <w:ind w:left="1440" w:right="720" w:hanging="720"/>
        <w:jc w:val="both"/>
        <w:rPr>
          <w:rFonts w:ascii="Bookman Old Style" w:hAnsi="Bookman Old Style"/>
          <w:sz w:val="26"/>
        </w:rPr>
      </w:pPr>
      <w:r>
        <w:rPr>
          <w:rFonts w:ascii="Bookman Old Style" w:hAnsi="Bookman Old Style"/>
          <w:sz w:val="26"/>
        </w:rPr>
        <w:t>(f)</w:t>
      </w:r>
      <w:r>
        <w:rPr>
          <w:rFonts w:ascii="Bookman Old Style" w:hAnsi="Bookman Old Style"/>
          <w:sz w:val="26"/>
        </w:rPr>
        <w:tab/>
        <w:t>extent to which its value to the community is outweighed by its dangerous attributes.</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Restatement (Second) of Torts § 520 (</w:t>
      </w:r>
      <w:r>
        <w:rPr>
          <w:rFonts w:ascii="Bookman Old Style" w:hAnsi="Bookman Old Style"/>
          <w:sz w:val="26"/>
        </w:rPr>
        <w:t>1965).  In a case in which the court determines that the defendant was engaged in abnormally dangerous activity, the second element of this instruction must be modified or eliminated.</w:t>
      </w:r>
    </w:p>
    <w:p w:rsidR="00000000" w:rsidRDefault="0063620F">
      <w:pPr>
        <w:pStyle w:val="PlainText"/>
        <w:jc w:val="both"/>
        <w:rPr>
          <w:rFonts w:ascii="Bookman Old Style" w:hAnsi="Bookman Old Style"/>
          <w:sz w:val="26"/>
        </w:rPr>
      </w:pPr>
    </w:p>
    <w:p w:rsidR="00000000" w:rsidRDefault="0063620F">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See Comment following Instruction 13.08.</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Alaska's nuisance st</w:t>
      </w:r>
      <w:r>
        <w:rPr>
          <w:rFonts w:ascii="Bookman Old Style" w:hAnsi="Bookman Old Style"/>
          <w:sz w:val="26"/>
        </w:rPr>
        <w:t>atutes identify certain public nuisances, but do not define the elements of a cause of action for public nuisance.  At common law, "the same act or structure may be a public nuisance, also a private nuisance as to a person who is thereby caused a special i</w:t>
      </w:r>
      <w:r>
        <w:rPr>
          <w:rFonts w:ascii="Bookman Old Style" w:hAnsi="Bookman Old Style"/>
          <w:sz w:val="26"/>
        </w:rPr>
        <w:t xml:space="preserve">njury other than that inflicted upon the general public."  </w:t>
      </w:r>
      <w:r>
        <w:rPr>
          <w:rFonts w:ascii="Bookman Old Style" w:hAnsi="Bookman Old Style"/>
          <w:sz w:val="26"/>
          <w:u w:val="single"/>
        </w:rPr>
        <w:t>Snyder v. Kelter</w:t>
      </w:r>
      <w:r>
        <w:rPr>
          <w:rFonts w:ascii="Bookman Old Style" w:hAnsi="Bookman Old Style"/>
          <w:sz w:val="26"/>
        </w:rPr>
        <w:t>, 4 Alaska 447 (Alaska 1912).</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The Restatement explains recovery of private damages from public nuisance as follows:</w:t>
      </w:r>
    </w:p>
    <w:p w:rsidR="00000000" w:rsidRDefault="0063620F">
      <w:pPr>
        <w:pStyle w:val="PlainText"/>
        <w:ind w:left="720" w:right="720"/>
        <w:jc w:val="both"/>
        <w:rPr>
          <w:rFonts w:ascii="Bookman Old Style" w:hAnsi="Bookman Old Style"/>
          <w:sz w:val="26"/>
        </w:rPr>
      </w:pPr>
    </w:p>
    <w:p w:rsidR="00000000" w:rsidRDefault="0063620F">
      <w:pPr>
        <w:pStyle w:val="PlainText"/>
        <w:ind w:left="720" w:right="720"/>
        <w:jc w:val="both"/>
        <w:rPr>
          <w:rFonts w:ascii="Bookman Old Style" w:hAnsi="Bookman Old Style"/>
          <w:sz w:val="26"/>
        </w:rPr>
      </w:pPr>
      <w:r>
        <w:rPr>
          <w:rFonts w:ascii="Bookman Old Style" w:hAnsi="Bookman Old Style"/>
          <w:sz w:val="26"/>
        </w:rPr>
        <w:t>The private individual can recover in tort for a public nuisanc</w:t>
      </w:r>
      <w:r>
        <w:rPr>
          <w:rFonts w:ascii="Bookman Old Style" w:hAnsi="Bookman Old Style"/>
          <w:sz w:val="26"/>
        </w:rPr>
        <w:t>e only if he has suffered harm of a different kind from that suffered by other persons exercising the same common right. It is not enough that he has suffered the same kind of harm or interference to a greater extent or degree.</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Restatement (Second) of Tor</w:t>
      </w:r>
      <w:r>
        <w:rPr>
          <w:rFonts w:ascii="Bookman Old Style" w:hAnsi="Bookman Old Style"/>
          <w:sz w:val="26"/>
        </w:rPr>
        <w:t>ts § 821C, Comment b (1979).</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 xml:space="preserve">In addition to the requirement that the plaintiff have suffered an injury different from that suffered by the public, the plaintiff must have suffered the injury in the exercise of a public or common right.  </w:t>
      </w:r>
      <w:r>
        <w:rPr>
          <w:rFonts w:ascii="Bookman Old Style" w:hAnsi="Bookman Old Style"/>
          <w:sz w:val="26"/>
          <w:u w:val="single"/>
        </w:rPr>
        <w:t>Maier v. Ketchikan</w:t>
      </w:r>
      <w:r>
        <w:rPr>
          <w:rFonts w:ascii="Bookman Old Style" w:hAnsi="Bookman Old Style"/>
          <w:sz w:val="26"/>
        </w:rPr>
        <w:t>, 403 P.2d 34, 38 (Alaska 1965).  "A public right is one common to all members of the general public."  Restatement (Second) of Torts § 821B, Comment g (1979).</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 xml:space="preserve">The Alaska Statutes identify some specific public nuisances.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as follows: AS 03.05.0</w:t>
      </w:r>
      <w:r>
        <w:rPr>
          <w:rFonts w:ascii="Bookman Old Style" w:hAnsi="Bookman Old Style"/>
          <w:sz w:val="26"/>
        </w:rPr>
        <w:t xml:space="preserve">50 (agricultural or fishing products); 03.30.030 (wire fences); 09.50.170-.240 (bawdy houses); 16.05.800 (fishing equipment); 16.05.880 (construction in specified waters); 19.25.150 (advertising signs); and 19.27.060-.080 (junk yards).  These statutes may </w:t>
      </w:r>
      <w:r>
        <w:rPr>
          <w:rFonts w:ascii="Bookman Old Style" w:hAnsi="Bookman Old Style"/>
          <w:sz w:val="26"/>
        </w:rPr>
        <w:t xml:space="preserve">eliminate the necessity of proving one or more of the elements listed in this instruction.  </w:t>
      </w:r>
      <w:r>
        <w:rPr>
          <w:rFonts w:ascii="Bookman Old Style" w:hAnsi="Bookman Old Style"/>
          <w:sz w:val="26"/>
          <w:u w:val="single"/>
        </w:rPr>
        <w:t>See</w:t>
      </w:r>
      <w:r>
        <w:rPr>
          <w:rFonts w:ascii="Bookman Old Style" w:hAnsi="Bookman Old Style"/>
          <w:sz w:val="26"/>
        </w:rPr>
        <w:t xml:space="preserve"> Restatement (Second) of Torts § 821B, Comment e (1979).</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 xml:space="preserve">A person may suffer a nuisance that is both public and private: </w:t>
      </w:r>
    </w:p>
    <w:p w:rsidR="00000000" w:rsidRDefault="0063620F">
      <w:pPr>
        <w:pStyle w:val="PlainText"/>
        <w:jc w:val="both"/>
        <w:rPr>
          <w:rFonts w:ascii="Bookman Old Style" w:hAnsi="Bookman Old Style"/>
          <w:sz w:val="26"/>
        </w:rPr>
      </w:pPr>
    </w:p>
    <w:p w:rsidR="00000000" w:rsidRDefault="0063620F">
      <w:pPr>
        <w:pStyle w:val="PlainText"/>
        <w:ind w:left="720" w:right="720"/>
        <w:jc w:val="both"/>
        <w:rPr>
          <w:rFonts w:ascii="Bookman Old Style" w:hAnsi="Bookman Old Style"/>
          <w:sz w:val="26"/>
        </w:rPr>
      </w:pPr>
      <w:r>
        <w:rPr>
          <w:rFonts w:ascii="Bookman Old Style" w:hAnsi="Bookman Old Style"/>
          <w:sz w:val="26"/>
        </w:rPr>
        <w:t>When the nuisance, in addition to int</w:t>
      </w:r>
      <w:r>
        <w:rPr>
          <w:rFonts w:ascii="Bookman Old Style" w:hAnsi="Bookman Old Style"/>
          <w:sz w:val="26"/>
        </w:rPr>
        <w:t>erfering with the public right, also interferes with the use and enjoyment of the plaintiff's land, it is a private nuisance as well as a public one.</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r>
        <w:rPr>
          <w:rFonts w:ascii="Bookman Old Style" w:hAnsi="Bookman Old Style"/>
          <w:sz w:val="26"/>
        </w:rPr>
        <w:t>Restatement (Second) of Torts § 821C, Comment e (1979).</w:t>
      </w:r>
    </w:p>
    <w:p w:rsidR="00000000" w:rsidRDefault="0063620F">
      <w:pPr>
        <w:pStyle w:val="PlainText"/>
        <w:jc w:val="both"/>
        <w:rPr>
          <w:rFonts w:ascii="Bookman Old Style" w:hAnsi="Bookman Old Style"/>
          <w:sz w:val="26"/>
        </w:rPr>
      </w:pPr>
    </w:p>
    <w:p w:rsidR="00000000" w:rsidRDefault="0063620F">
      <w:pPr>
        <w:pStyle w:val="PlainText"/>
        <w:jc w:val="both"/>
        <w:rPr>
          <w:rFonts w:ascii="Bookman Old Style" w:hAnsi="Bookman Old Style"/>
          <w:sz w:val="26"/>
        </w:rPr>
      </w:pPr>
    </w:p>
    <w:sectPr w:rsidR="0000000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620F">
      <w:r>
        <w:separator/>
      </w:r>
    </w:p>
  </w:endnote>
  <w:endnote w:type="continuationSeparator" w:id="0">
    <w:p w:rsidR="00000000" w:rsidRDefault="006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620F">
    <w:pPr>
      <w:pStyle w:val="Footer"/>
      <w:tabs>
        <w:tab w:val="clear" w:pos="8640"/>
        <w:tab w:val="right" w:pos="918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13.09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777A94">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620F">
      <w:r>
        <w:separator/>
      </w:r>
    </w:p>
  </w:footnote>
  <w:footnote w:type="continuationSeparator" w:id="0">
    <w:p w:rsidR="00000000" w:rsidRDefault="00636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94"/>
    <w:rsid w:val="0063620F"/>
    <w:rsid w:val="0077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2000-08-22T19:48:00Z</cp:lastPrinted>
  <dcterms:created xsi:type="dcterms:W3CDTF">2017-04-04T18:50:00Z</dcterms:created>
  <dcterms:modified xsi:type="dcterms:W3CDTF">2017-04-04T18:50:00Z</dcterms:modified>
</cp:coreProperties>
</file>