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478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Bookman Old Style" w:hAnsi="Bookman Old Style"/>
          <w:b/>
          <w:sz w:val="26"/>
        </w:rPr>
      </w:pPr>
      <w:bookmarkStart w:id="0" w:name="_GoBack"/>
      <w:bookmarkEnd w:id="0"/>
      <w:r>
        <w:rPr>
          <w:rFonts w:ascii="Bookman Old Style" w:hAnsi="Bookman Old Style"/>
          <w:b/>
          <w:sz w:val="26"/>
        </w:rPr>
        <w:t>15.01</w:t>
      </w:r>
      <w:r>
        <w:rPr>
          <w:rFonts w:ascii="Bookman Old Style" w:hAnsi="Bookman Old Style"/>
          <w:b/>
          <w:sz w:val="26"/>
        </w:rPr>
        <w:tab/>
        <w:t>False Imprisonment – Other than False Arrest</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In this case, the plaintiff (name) claims that the defendant (name) improperly interfered with the plaintiff's right to be free from confinement.</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 xml:space="preserve">In order for the plaintiff to establish this claim, you </w:t>
      </w:r>
      <w:r>
        <w:rPr>
          <w:rFonts w:ascii="Bookman Old Style" w:hAnsi="Bookman Old Style"/>
          <w:sz w:val="26"/>
        </w:rPr>
        <w:t>must decide that the following four things are more likely true than not true:</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(1)</w:t>
      </w:r>
      <w:r>
        <w:rPr>
          <w:rFonts w:ascii="Bookman Old Style" w:hAnsi="Bookman Old Style"/>
          <w:sz w:val="26"/>
        </w:rPr>
        <w:tab/>
        <w:t>The defendant did something or said something which resulted in the plaintiff being confined; and</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(2)</w:t>
      </w:r>
      <w:r>
        <w:rPr>
          <w:rFonts w:ascii="Bookman Old Style" w:hAnsi="Bookman Old Style"/>
          <w:sz w:val="26"/>
        </w:rPr>
        <w:tab/>
        <w:t>The defendant acted with the intend to keep the plaintiff confined; and</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(3)</w:t>
      </w:r>
      <w:r>
        <w:rPr>
          <w:rFonts w:ascii="Bookman Old Style" w:hAnsi="Bookman Old Style"/>
          <w:sz w:val="26"/>
        </w:rPr>
        <w:tab/>
        <w:t>The plaintiff knew of the confinement [or was seriously harmed by the confinement]; and</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(4)</w:t>
      </w:r>
      <w:r>
        <w:rPr>
          <w:rFonts w:ascii="Bookman Old Style" w:hAnsi="Bookman Old Style"/>
          <w:sz w:val="26"/>
        </w:rPr>
        <w:tab/>
        <w:t>The plaintiff did not [consent] [and/or say anything or do anything to cause the defendant reasonably to believe the plaintiff consented] to being confined</w:t>
      </w:r>
      <w:r>
        <w:rPr>
          <w:rFonts w:ascii="Bookman Old Style" w:hAnsi="Bookman Old Style"/>
          <w:sz w:val="26"/>
        </w:rPr>
        <w:t>.</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r>
        <w:rPr>
          <w:rFonts w:ascii="Bookman Old Style" w:hAnsi="Bookman Old Style"/>
          <w:sz w:val="26"/>
        </w:rPr>
        <w:t>I will now explain to you some of the words I just used.</w:t>
      </w:r>
    </w:p>
    <w:p w:rsidR="00000000" w:rsidRDefault="00647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jc w:val="both"/>
        <w:rPr>
          <w:rFonts w:ascii="Bookman Old Style" w:hAnsi="Bookman Old Style"/>
          <w:sz w:val="26"/>
        </w:rPr>
      </w:pPr>
    </w:p>
    <w:p w:rsidR="00000000" w:rsidRDefault="006478DB">
      <w:pPr>
        <w:spacing w:line="360" w:lineRule="auto"/>
        <w:jc w:val="both"/>
        <w:rPr>
          <w:rFonts w:ascii="Bookman Old Style" w:hAnsi="Bookman Old Style"/>
          <w:sz w:val="26"/>
        </w:rPr>
      </w:pPr>
    </w:p>
    <w:p w:rsidR="00000000" w:rsidRDefault="006478DB">
      <w:pPr>
        <w:spacing w:line="360" w:lineRule="auto"/>
        <w:jc w:val="both"/>
        <w:rPr>
          <w:rFonts w:ascii="Bookman Old Style" w:hAnsi="Bookman Old Style"/>
          <w:sz w:val="26"/>
        </w:rPr>
      </w:pPr>
    </w:p>
    <w:p w:rsidR="00000000" w:rsidRDefault="006478DB">
      <w:pPr>
        <w:spacing w:line="360" w:lineRule="auto"/>
        <w:jc w:val="both"/>
        <w:rPr>
          <w:rFonts w:ascii="Bookman Old Style" w:hAnsi="Bookman Old Style"/>
          <w:sz w:val="26"/>
        </w:rPr>
      </w:pPr>
    </w:p>
    <w:p w:rsidR="00000000" w:rsidRDefault="006478DB">
      <w:pPr>
        <w:pStyle w:val="Heading1"/>
        <w:spacing w:line="240" w:lineRule="auto"/>
      </w:pPr>
      <w:r>
        <w:lastRenderedPageBreak/>
        <w:t>Use Note</w:t>
      </w:r>
    </w:p>
    <w:p w:rsidR="00000000" w:rsidRDefault="006478DB">
      <w:pPr>
        <w:jc w:val="center"/>
        <w:rPr>
          <w:rFonts w:ascii="Bookman Old Style" w:hAnsi="Bookman Old Style"/>
          <w:sz w:val="26"/>
          <w:u w:val="single"/>
        </w:rPr>
      </w:pPr>
    </w:p>
    <w:p w:rsidR="00000000" w:rsidRDefault="006478DB">
      <w:pPr>
        <w:pStyle w:val="BodyText"/>
      </w:pPr>
      <w:r>
        <w:t>This instruction should be used in false imprisonment cases other than those involving arrest.  For arrest cases, use Instructions 15.03 – 15.05.  This instruction must be followed by Instruction 15.02A and 15.02C.</w:t>
      </w:r>
    </w:p>
    <w:p w:rsidR="00000000" w:rsidRDefault="006478DB">
      <w:pPr>
        <w:jc w:val="both"/>
        <w:rPr>
          <w:rFonts w:ascii="Bookman Old Style" w:hAnsi="Bookman Old Style"/>
          <w:sz w:val="26"/>
        </w:rPr>
      </w:pPr>
    </w:p>
    <w:p w:rsidR="00000000" w:rsidRDefault="006478DB">
      <w:pPr>
        <w:pStyle w:val="Heading1"/>
        <w:spacing w:line="240" w:lineRule="auto"/>
      </w:pPr>
      <w:r>
        <w:t>Comment</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 xml:space="preserve">Alaska case law recognizes the tort of false imprisonment.  </w:t>
      </w:r>
      <w:r>
        <w:rPr>
          <w:rFonts w:ascii="Bookman Old Style" w:hAnsi="Bookman Old Style"/>
          <w:sz w:val="26"/>
          <w:u w:val="single"/>
        </w:rPr>
        <w:t>Malvo v. J.C. Penney Co., Inc.</w:t>
      </w:r>
      <w:r>
        <w:rPr>
          <w:rFonts w:ascii="Bookman Old Style" w:hAnsi="Bookman Old Style"/>
          <w:sz w:val="26"/>
        </w:rPr>
        <w:t xml:space="preserve">, 512 P.2d 575 (Alaska 1973); </w:t>
      </w:r>
      <w:r>
        <w:rPr>
          <w:rFonts w:ascii="Bookman Old Style" w:hAnsi="Bookman Old Style"/>
          <w:sz w:val="26"/>
          <w:u w:val="single"/>
        </w:rPr>
        <w:t>City of Nome v. Ailak</w:t>
      </w:r>
      <w:r>
        <w:rPr>
          <w:rFonts w:ascii="Bookman Old Style" w:hAnsi="Bookman Old Style"/>
          <w:sz w:val="26"/>
        </w:rPr>
        <w:t>, 570 P.2d 162 (Alaska 1977).  In neither case did the Alaska Supreme Co</w:t>
      </w:r>
      <w:r>
        <w:rPr>
          <w:rFonts w:ascii="Bookman Old Style" w:hAnsi="Bookman Old Style"/>
          <w:sz w:val="26"/>
        </w:rPr>
        <w:t xml:space="preserve">urt detail the elements of the tort, although there is nothing to suggest that Alaska would depart from the established traditional rules.  This instruction is based on Restatement (Second) of Torts § 35-45A (1965).  </w:t>
      </w:r>
      <w:r>
        <w:rPr>
          <w:rFonts w:ascii="Bookman Old Style" w:hAnsi="Bookman Old Style"/>
          <w:sz w:val="26"/>
          <w:u w:val="single"/>
        </w:rPr>
        <w:t>See</w:t>
      </w:r>
      <w:r>
        <w:rPr>
          <w:rFonts w:ascii="Bookman Old Style" w:hAnsi="Bookman Old Style"/>
          <w:sz w:val="26"/>
        </w:rPr>
        <w:t xml:space="preserve"> </w:t>
      </w:r>
      <w:r>
        <w:rPr>
          <w:rFonts w:ascii="Bookman Old Style" w:hAnsi="Bookman Old Style"/>
          <w:sz w:val="26"/>
          <w:u w:val="single"/>
        </w:rPr>
        <w:t>also</w:t>
      </w:r>
      <w:r>
        <w:rPr>
          <w:rFonts w:ascii="Bookman Old Style" w:hAnsi="Bookman Old Style"/>
          <w:sz w:val="26"/>
        </w:rPr>
        <w:t>, Prosser, Torts § 11 (1971).</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Restatement (Second) of Torts § 42 requires the plaintiff know of the confinement or be harmed by it.  There is little case law on whether a person may recover where the person is harmed by but does not know of the confinement.  The “harmful” language is b</w:t>
      </w:r>
      <w:r>
        <w:rPr>
          <w:rFonts w:ascii="Bookman Old Style" w:hAnsi="Bookman Old Style"/>
          <w:sz w:val="26"/>
        </w:rPr>
        <w:t>racketed to suggest caution should such a case arise.</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 xml:space="preserve">The Alaska Supreme Court has held that false arrest is one method of effectuating a false imprisonment and that a plaintiff may not recover under both claims.  </w:t>
      </w:r>
      <w:r>
        <w:rPr>
          <w:rFonts w:ascii="Bookman Old Style" w:hAnsi="Bookman Old Style"/>
          <w:sz w:val="26"/>
          <w:u w:val="single"/>
        </w:rPr>
        <w:t>City of Nome</w:t>
      </w:r>
      <w:r>
        <w:rPr>
          <w:rFonts w:ascii="Bookman Old Style" w:hAnsi="Bookman Old Style"/>
          <w:sz w:val="26"/>
        </w:rPr>
        <w:t>, 570 P.2d at 168.</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 xml:space="preserve">In </w:t>
      </w:r>
      <w:r>
        <w:rPr>
          <w:rFonts w:ascii="Bookman Old Style" w:hAnsi="Bookman Old Style"/>
          <w:sz w:val="26"/>
          <w:u w:val="single"/>
        </w:rPr>
        <w:t>City of Nome</w:t>
      </w:r>
      <w:r>
        <w:rPr>
          <w:rFonts w:ascii="Bookman Old Style" w:hAnsi="Bookman Old Style"/>
          <w:sz w:val="26"/>
        </w:rPr>
        <w:t>, 570 P.2d at 169-70, the court recognized that the consent of the plaintiff to the confinement would bar recovery.  The Alaska court has not clearly stated who bears the burden of proof on the issue of consent.  The Restatement provides that for inv</w:t>
      </w:r>
      <w:r>
        <w:rPr>
          <w:rFonts w:ascii="Bookman Old Style" w:hAnsi="Bookman Old Style"/>
          <w:sz w:val="26"/>
        </w:rPr>
        <w:t>asions of personal security, as distinguished from property interests, the plaintiff must show the absence of consent.  Restatement (Second) of Torts § 10.</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 xml:space="preserve">In arrest cases, the primary issue is whether there is an arrest.  Once an arrest is made, the voluntary submission to the custody of the defendant will not defeat a false arrest claim if probable cause is lacking.  This result is suggested in </w:t>
      </w:r>
      <w:r>
        <w:rPr>
          <w:rFonts w:ascii="Bookman Old Style" w:hAnsi="Bookman Old Style"/>
          <w:sz w:val="26"/>
          <w:u w:val="single"/>
        </w:rPr>
        <w:t>City of Nome</w:t>
      </w:r>
      <w:r>
        <w:rPr>
          <w:rFonts w:ascii="Bookman Old Style" w:hAnsi="Bookman Old Style"/>
          <w:sz w:val="26"/>
        </w:rPr>
        <w:t>, 570 P.2d at 170.</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r>
        <w:rPr>
          <w:rFonts w:ascii="Bookman Old Style" w:hAnsi="Bookman Old Style"/>
          <w:sz w:val="26"/>
        </w:rPr>
        <w:t>The borderline between consent which bars recovery and consent resulting from d</w:t>
      </w:r>
      <w:r>
        <w:rPr>
          <w:rFonts w:ascii="Bookman Old Style" w:hAnsi="Bookman Old Style"/>
          <w:sz w:val="26"/>
        </w:rPr>
        <w:t xml:space="preserve">uress which does not is not easily drawn in false imprisonment cases.  In the absence of Alaska law, no attempt is made to propose an instruction for this issue.  It should be noted, however, that if the confinement is accomplished by state or local officials, unless they have a warrant they almost certainly will have to show consent to justify their actions.  </w:t>
      </w:r>
      <w:r>
        <w:rPr>
          <w:rFonts w:ascii="Bookman Old Style" w:hAnsi="Bookman Old Style"/>
          <w:sz w:val="26"/>
          <w:u w:val="single"/>
        </w:rPr>
        <w:t>See</w:t>
      </w:r>
      <w:r>
        <w:rPr>
          <w:rFonts w:ascii="Bookman Old Style" w:hAnsi="Bookman Old Style"/>
          <w:sz w:val="26"/>
        </w:rPr>
        <w:t xml:space="preserve"> </w:t>
      </w:r>
      <w:r>
        <w:rPr>
          <w:rFonts w:ascii="Bookman Old Style" w:hAnsi="Bookman Old Style"/>
          <w:sz w:val="26"/>
          <w:u w:val="single"/>
        </w:rPr>
        <w:t>generally</w:t>
      </w:r>
      <w:r>
        <w:rPr>
          <w:rFonts w:ascii="Bookman Old Style" w:hAnsi="Bookman Old Style"/>
          <w:sz w:val="26"/>
        </w:rPr>
        <w:t xml:space="preserve"> </w:t>
      </w:r>
      <w:r>
        <w:rPr>
          <w:rFonts w:ascii="Bookman Old Style" w:hAnsi="Bookman Old Style"/>
          <w:sz w:val="26"/>
          <w:u w:val="single"/>
        </w:rPr>
        <w:t>Schneckloth v. Bustamonte</w:t>
      </w:r>
      <w:r>
        <w:rPr>
          <w:rFonts w:ascii="Bookman Old Style" w:hAnsi="Bookman Old Style"/>
          <w:sz w:val="26"/>
        </w:rPr>
        <w:t>, 412 U.S. 218 (1973).</w:t>
      </w:r>
    </w:p>
    <w:p w:rsidR="00000000" w:rsidRDefault="006478DB">
      <w:pPr>
        <w:jc w:val="both"/>
        <w:rPr>
          <w:rFonts w:ascii="Bookman Old Style" w:hAnsi="Bookman Old Style"/>
          <w:sz w:val="26"/>
        </w:rPr>
      </w:pPr>
    </w:p>
    <w:p w:rsidR="00000000" w:rsidRDefault="006478DB">
      <w:pPr>
        <w:jc w:val="both"/>
        <w:rPr>
          <w:rFonts w:ascii="Bookman Old Style" w:hAnsi="Bookman Old Style"/>
          <w:sz w:val="26"/>
        </w:rPr>
      </w:pPr>
    </w:p>
    <w:sectPr w:rsidR="00000000">
      <w:headerReference w:type="default" r:id="rId7"/>
      <w:footerReference w:type="default" r:id="rId8"/>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78DB">
      <w:r>
        <w:separator/>
      </w:r>
    </w:p>
  </w:endnote>
  <w:endnote w:type="continuationSeparator" w:id="0">
    <w:p w:rsidR="00000000" w:rsidRDefault="0064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8DB">
    <w:pPr>
      <w:pStyle w:val="Footer"/>
      <w:tabs>
        <w:tab w:val="clear" w:pos="8640"/>
        <w:tab w:val="right" w:pos="9000"/>
      </w:tabs>
      <w:rPr>
        <w:rFonts w:ascii="Bookman Old Style" w:hAnsi="Bookman Old Style"/>
        <w:sz w:val="24"/>
      </w:rPr>
    </w:pPr>
    <w:r>
      <w:rPr>
        <w:rFonts w:ascii="Bookman Old Style" w:hAnsi="Bookman Old Style"/>
        <w:sz w:val="24"/>
      </w:rPr>
      <w:t>Revised 1987</w:t>
    </w:r>
    <w:r>
      <w:rPr>
        <w:rFonts w:ascii="Bookman Old Style" w:hAnsi="Bookman Old Style"/>
        <w:sz w:val="24"/>
      </w:rPr>
      <w:tab/>
    </w:r>
    <w:r>
      <w:rPr>
        <w:rFonts w:ascii="Bookman Old Style" w:hAnsi="Bookman Old Style"/>
        <w:sz w:val="24"/>
      </w:rPr>
      <w:tab/>
      <w:t xml:space="preserve">15.01 – </w:t>
    </w:r>
    <w:r>
      <w:rPr>
        <w:rStyle w:val="PageNumber"/>
        <w:rFonts w:ascii="Bookman Old Style" w:hAnsi="Bookman Old Style"/>
        <w:sz w:val="24"/>
      </w:rPr>
      <w:fldChar w:fldCharType="begin"/>
    </w:r>
    <w:r>
      <w:rPr>
        <w:rStyle w:val="PageNumber"/>
        <w:rFonts w:ascii="Bookman Old Style" w:hAnsi="Bookman Old Style"/>
        <w:sz w:val="24"/>
      </w:rPr>
      <w:instrText xml:space="preserve"> PAGE </w:instrText>
    </w:r>
    <w:r>
      <w:rPr>
        <w:rStyle w:val="PageNumber"/>
        <w:rFonts w:ascii="Bookman Old Style" w:hAnsi="Bookman Old Style"/>
        <w:sz w:val="24"/>
      </w:rPr>
      <w:fldChar w:fldCharType="separate"/>
    </w:r>
    <w:r w:rsidR="00D15E35">
      <w:rPr>
        <w:rStyle w:val="PageNumber"/>
        <w:rFonts w:ascii="Bookman Old Style" w:hAnsi="Bookman Old Style"/>
        <w:noProof/>
        <w:sz w:val="24"/>
      </w:rPr>
      <w:t>1</w:t>
    </w:r>
    <w:r>
      <w:rPr>
        <w:rStyle w:val="PageNumber"/>
        <w:rFonts w:ascii="Bookman Old Style" w:hAnsi="Bookman Old Style"/>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78DB">
      <w:r>
        <w:separator/>
      </w:r>
    </w:p>
  </w:footnote>
  <w:footnote w:type="continuationSeparator" w:id="0">
    <w:p w:rsidR="00000000" w:rsidRDefault="0064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78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Bookman Old Style" w:hAnsi="Bookman Old Style"/>
        <w:vanish/>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35"/>
    <w:rsid w:val="006478DB"/>
    <w:rsid w:val="00D1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rFonts w:ascii="Bookman Old Style" w:hAnsi="Bookman Old Style"/>
      <w:sz w:val="26"/>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Bookman Old Style" w:hAnsi="Bookman Old Styl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rFonts w:ascii="Bookman Old Style" w:hAnsi="Bookman Old Style"/>
      <w:sz w:val="26"/>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Bookman Old Style" w:hAnsi="Bookman Old Styl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0</DocSecurity>
  <Lines>22</Lines>
  <Paragraphs>6</Paragraphs>
  <ScaleCrop>false</ScaleCrop>
  <Company>Alaska Court System</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korzechowski</dc:creator>
  <cp:keywords/>
  <dc:description/>
  <cp:lastModifiedBy>Michael Merrington</cp:lastModifiedBy>
  <cp:revision>3</cp:revision>
  <cp:lastPrinted>2000-03-08T22:17:00Z</cp:lastPrinted>
  <dcterms:created xsi:type="dcterms:W3CDTF">2017-04-04T18:50:00Z</dcterms:created>
  <dcterms:modified xsi:type="dcterms:W3CDTF">2017-04-04T18:50:00Z</dcterms:modified>
</cp:coreProperties>
</file>