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3D1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15.02A</w:t>
      </w:r>
      <w:r>
        <w:rPr>
          <w:rFonts w:ascii="Bookman Old Style" w:hAnsi="Bookman Old Style"/>
          <w:b/>
          <w:sz w:val="26"/>
        </w:rPr>
        <w:tab/>
        <w:t>Nature of Confinement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3D13">
      <w:pPr>
        <w:pStyle w:val="BodyText"/>
      </w:pPr>
      <w:r>
        <w:t>The first word I will define for you is "confined."  The plaintiff is confined if the plaintiff is kept from leaving any identifiable area.  [The area need not have been a jail or a room, but is cannot have been so large that</w:t>
      </w:r>
      <w:r>
        <w:t xml:space="preserve"> the plaintiff was not really confined in an area but rather was excluded from some other area.]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plaintiff is not confined in an area if the plaintiff knows of a reasonably way to leave the area.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3D13">
      <w:pPr>
        <w:pStyle w:val="Heading1"/>
      </w:pPr>
      <w:r>
        <w:t>Use Note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  <w:u w:val="single"/>
        </w:rPr>
      </w:pPr>
    </w:p>
    <w:p w:rsidR="00000000" w:rsidRDefault="00373D13">
      <w:pPr>
        <w:pStyle w:val="BodyText"/>
        <w:spacing w:line="240" w:lineRule="auto"/>
      </w:pPr>
      <w:r>
        <w:t>This instruction should follow Instruction 15.01.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373D13">
      <w:pPr>
        <w:pStyle w:val="Heading1"/>
      </w:pPr>
      <w:r>
        <w:t>Comment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373D13">
      <w:pPr>
        <w:pStyle w:val="BodyText"/>
        <w:spacing w:line="240" w:lineRule="auto"/>
      </w:pPr>
      <w:r>
        <w:t>Restatement (Second) of Torts § 36 Comment (b) (1965) draws the distinction between confinement and exclusion and suggests it is a matter “for the judgment of the court or jury.”  The bracketed sentence could be used to submit the issue to</w:t>
      </w:r>
      <w:r>
        <w:t xml:space="preserve"> the jury when the issue is raised.  There is no Alaska case law that speaks to the issue.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373D13">
      <w:pPr>
        <w:pStyle w:val="BodyText"/>
        <w:spacing w:line="240" w:lineRule="auto"/>
      </w:pPr>
      <w:r>
        <w:t>The last sentence of this instruction expands on the concept of confinement which in most cases is self-evident.  There are, however, cases where the confinement is complete only as to the plaintiff viewed subjectively, i.e., an open window accessible to a normal person but not to the arthritic plaintiff, or whether confinement is not the result of physical barriers, i.e., the defendant leaves a door open but takes t</w:t>
      </w:r>
      <w:r>
        <w:t xml:space="preserve">he plaintiff’s clothes.  </w:t>
      </w:r>
      <w:r>
        <w:rPr>
          <w:u w:val="single"/>
        </w:rPr>
        <w:t>See</w:t>
      </w:r>
      <w:r>
        <w:t xml:space="preserve"> Restatement (Second) of Torts § 36 (1965).</w:t>
      </w:r>
    </w:p>
    <w:p w:rsidR="00000000" w:rsidRDefault="00373D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A3"/>
    <w:rsid w:val="001159A3"/>
    <w:rsid w:val="003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Alaska Court System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korzechowski</dc:creator>
  <cp:keywords/>
  <dc:description/>
  <cp:lastModifiedBy>Michael Merrington</cp:lastModifiedBy>
  <cp:revision>3</cp:revision>
  <cp:lastPrinted>2000-12-18T22:30:00Z</cp:lastPrinted>
  <dcterms:created xsi:type="dcterms:W3CDTF">2017-04-04T18:50:00Z</dcterms:created>
  <dcterms:modified xsi:type="dcterms:W3CDTF">2017-04-04T18:50:00Z</dcterms:modified>
</cp:coreProperties>
</file>