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7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Bookman Old Style" w:hAnsi="Bookman Old Style"/>
          <w:b/>
          <w:sz w:val="26"/>
        </w:rPr>
      </w:pPr>
      <w:bookmarkStart w:id="0" w:name="_GoBack"/>
      <w:bookmarkEnd w:id="0"/>
      <w:r>
        <w:rPr>
          <w:rFonts w:ascii="Bookman Old Style" w:hAnsi="Bookman Old Style"/>
          <w:b/>
          <w:sz w:val="26"/>
        </w:rPr>
        <w:t>15.02C</w:t>
      </w:r>
      <w:r>
        <w:rPr>
          <w:rFonts w:ascii="Bookman Old Style" w:hAnsi="Bookman Old Style"/>
          <w:b/>
          <w:sz w:val="26"/>
        </w:rPr>
        <w:tab/>
        <w:t>INTENT DEFINED</w:t>
      </w: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The second word I will define for you is "intent."  The defendant acts intentionally is the defendant desires to confine the plaintiff, or the defendant believes that it was substantially certain that the defendant's acts would resu</w:t>
      </w:r>
      <w:r>
        <w:rPr>
          <w:rFonts w:ascii="Bookman Old Style" w:hAnsi="Bookman Old Style"/>
          <w:sz w:val="26"/>
        </w:rPr>
        <w:t>lt in plaintiff's confinement.  The defendant's actions may be intentional even if not malicious or the result of hostile feelings toward the plaintiff.</w:t>
      </w: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BB4741">
      <w:pPr>
        <w:pStyle w:val="Heading1"/>
      </w:pPr>
      <w:r>
        <w:t>Use Note</w:t>
      </w: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must follow Instruction 15.01 and 15.02A.  Where the defendant claims a privilege, Instructions 15.06 and/or 15.08 should follow this instruction.</w:t>
      </w: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r>
        <w:rPr>
          <w:rFonts w:ascii="Bookman Old Style" w:hAnsi="Bookman Old Style"/>
          <w:sz w:val="26"/>
          <w:u w:val="single"/>
        </w:rPr>
        <w:t>Comment</w:t>
      </w: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BB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There is no Alaska case law defining intent in a false imprisonment case.  This instruction is derived from Instruction 12.03C (Assault or Battery – Intent).</w:t>
      </w:r>
    </w:p>
    <w:sectPr w:rsidR="00000000">
      <w:head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741">
      <w:r>
        <w:separator/>
      </w:r>
    </w:p>
  </w:endnote>
  <w:endnote w:type="continuationSeparator" w:id="0">
    <w:p w:rsidR="00000000" w:rsidRDefault="00BB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4741">
      <w:r>
        <w:separator/>
      </w:r>
    </w:p>
  </w:footnote>
  <w:footnote w:type="continuationSeparator" w:id="0">
    <w:p w:rsidR="00000000" w:rsidRDefault="00BB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7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Bookman Old Style" w:hAnsi="Bookman Old Style"/>
        <w:vanish/>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FF"/>
    <w:rsid w:val="004C6CFF"/>
    <w:rsid w:val="00BB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Alaska Court System</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korzechowski</dc:creator>
  <cp:keywords/>
  <dc:description/>
  <cp:lastModifiedBy>Michael Merrington</cp:lastModifiedBy>
  <cp:revision>3</cp:revision>
  <cp:lastPrinted>2000-09-13T22:40:00Z</cp:lastPrinted>
  <dcterms:created xsi:type="dcterms:W3CDTF">2017-04-04T18:40:00Z</dcterms:created>
  <dcterms:modified xsi:type="dcterms:W3CDTF">2017-04-04T18:40:00Z</dcterms:modified>
</cp:coreProperties>
</file>