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679B5">
      <w:pPr>
        <w:pStyle w:val="BodyText2"/>
      </w:pPr>
      <w:bookmarkStart w:id="0" w:name="_GoBack"/>
      <w:bookmarkEnd w:id="0"/>
      <w:r>
        <w:t>15.06</w:t>
      </w:r>
      <w:r>
        <w:tab/>
        <w:t>FALSE IMPRISONMENT – PRIVILEGE OF PEACE OFFICER TO DETAIN SHORT OF ARREST</w:t>
      </w:r>
    </w:p>
    <w:p w:rsidR="00000000" w:rsidRDefault="00E679B5">
      <w:pPr>
        <w:spacing w:line="360" w:lineRule="auto"/>
        <w:jc w:val="both"/>
        <w:rPr>
          <w:rFonts w:ascii="Bookman Old Style" w:hAnsi="Bookman Old Style"/>
          <w:sz w:val="26"/>
        </w:rPr>
      </w:pPr>
    </w:p>
    <w:p w:rsidR="00000000" w:rsidRDefault="00E679B5">
      <w:pPr>
        <w:spacing w:line="360" w:lineRule="auto"/>
        <w:jc w:val="both"/>
        <w:rPr>
          <w:rFonts w:ascii="Bookman Old Style" w:hAnsi="Bookman Old Style"/>
          <w:sz w:val="26"/>
        </w:rPr>
      </w:pPr>
    </w:p>
    <w:p w:rsidR="00000000" w:rsidRDefault="00E679B5">
      <w:pPr>
        <w:spacing w:line="360" w:lineRule="auto"/>
        <w:jc w:val="both"/>
        <w:rPr>
          <w:rFonts w:ascii="Bookman Old Style" w:hAnsi="Bookman Old Style"/>
          <w:sz w:val="26"/>
        </w:rPr>
      </w:pPr>
      <w:r>
        <w:rPr>
          <w:rFonts w:ascii="Bookman Old Style" w:hAnsi="Bookman Old Style"/>
          <w:sz w:val="26"/>
        </w:rPr>
        <w:t>In some circumstances, the law allows the defendant to confine the plaintiff without arresting him or her.  In order for the defendant to be allowed to confine without arrest</w:t>
      </w:r>
      <w:r>
        <w:rPr>
          <w:rFonts w:ascii="Bookman Old Style" w:hAnsi="Bookman Old Style"/>
          <w:sz w:val="26"/>
        </w:rPr>
        <w:t>, the plaintiff in this case, you must decide it is more likely true than not true that the following things happened:</w:t>
      </w:r>
    </w:p>
    <w:p w:rsidR="00000000" w:rsidRDefault="00E679B5">
      <w:pPr>
        <w:spacing w:line="360" w:lineRule="auto"/>
        <w:jc w:val="both"/>
        <w:rPr>
          <w:rFonts w:ascii="Bookman Old Style" w:hAnsi="Bookman Old Style"/>
          <w:sz w:val="26"/>
        </w:rPr>
      </w:pPr>
    </w:p>
    <w:p w:rsidR="00000000" w:rsidRDefault="00E679B5">
      <w:pPr>
        <w:spacing w:line="360" w:lineRule="auto"/>
        <w:jc w:val="both"/>
        <w:rPr>
          <w:rFonts w:ascii="Bookman Old Style" w:hAnsi="Bookman Old Style"/>
          <w:sz w:val="26"/>
        </w:rPr>
      </w:pPr>
      <w:r>
        <w:rPr>
          <w:rFonts w:ascii="Bookman Old Style" w:hAnsi="Bookman Old Style"/>
          <w:sz w:val="26"/>
        </w:rPr>
        <w:t>(Insert evidence of facts which, if true, would establish reasonable suspicion as a matter of law.)</w:t>
      </w:r>
    </w:p>
    <w:p w:rsidR="00000000" w:rsidRDefault="00E679B5">
      <w:pPr>
        <w:spacing w:line="360" w:lineRule="auto"/>
        <w:jc w:val="both"/>
        <w:rPr>
          <w:rFonts w:ascii="Bookman Old Style" w:hAnsi="Bookman Old Style"/>
          <w:sz w:val="26"/>
        </w:rPr>
      </w:pPr>
    </w:p>
    <w:p w:rsidR="00000000" w:rsidRDefault="00E679B5">
      <w:pPr>
        <w:spacing w:line="360" w:lineRule="auto"/>
        <w:jc w:val="both"/>
        <w:rPr>
          <w:rFonts w:ascii="Bookman Old Style" w:hAnsi="Bookman Old Style"/>
          <w:sz w:val="26"/>
        </w:rPr>
      </w:pPr>
      <w:r>
        <w:rPr>
          <w:rFonts w:ascii="Bookman Old Style" w:hAnsi="Bookman Old Style"/>
          <w:sz w:val="26"/>
        </w:rPr>
        <w:t>If you decide it is more likely true than not true that these things happened, you must return a verdict for the defendant.</w:t>
      </w:r>
    </w:p>
    <w:p w:rsidR="00000000" w:rsidRDefault="00E679B5">
      <w:pPr>
        <w:spacing w:line="360" w:lineRule="auto"/>
        <w:jc w:val="both"/>
        <w:rPr>
          <w:rFonts w:ascii="Bookman Old Style" w:hAnsi="Bookman Old Style"/>
          <w:sz w:val="26"/>
        </w:rPr>
      </w:pPr>
    </w:p>
    <w:p w:rsidR="00000000" w:rsidRDefault="00E679B5">
      <w:pPr>
        <w:spacing w:line="360" w:lineRule="auto"/>
        <w:jc w:val="both"/>
        <w:rPr>
          <w:rFonts w:ascii="Bookman Old Style" w:hAnsi="Bookman Old Style"/>
          <w:sz w:val="26"/>
        </w:rPr>
      </w:pPr>
    </w:p>
    <w:p w:rsidR="00000000" w:rsidRDefault="00E679B5">
      <w:pPr>
        <w:pStyle w:val="Heading1"/>
      </w:pPr>
      <w:r>
        <w:t>Use Note</w:t>
      </w:r>
    </w:p>
    <w:p w:rsidR="00000000" w:rsidRDefault="00E679B5">
      <w:pPr>
        <w:jc w:val="center"/>
        <w:rPr>
          <w:rFonts w:ascii="Bookman Old Style" w:hAnsi="Bookman Old Style"/>
          <w:sz w:val="26"/>
        </w:rPr>
      </w:pPr>
    </w:p>
    <w:p w:rsidR="00000000" w:rsidRDefault="00E679B5">
      <w:pPr>
        <w:pStyle w:val="BodyText"/>
      </w:pPr>
      <w:r>
        <w:t xml:space="preserve">This instruction should be used where a peace officer temporarily detains a person for investigative purposes but no arrest occurs and therefore, there is </w:t>
      </w:r>
      <w:r>
        <w:t>no issue of false arrest.  If a claim of false arrest is also made, the jury must be instructed that the above defined privilege does not apply to the claim of false arrest.  It should be used following Instruction 15.02C.</w:t>
      </w:r>
    </w:p>
    <w:p w:rsidR="00000000" w:rsidRDefault="00E679B5">
      <w:pPr>
        <w:jc w:val="center"/>
        <w:rPr>
          <w:rFonts w:ascii="Bookman Old Style" w:hAnsi="Bookman Old Style"/>
          <w:sz w:val="26"/>
          <w:u w:val="single"/>
        </w:rPr>
      </w:pPr>
    </w:p>
    <w:p w:rsidR="00000000" w:rsidRDefault="00E679B5">
      <w:pPr>
        <w:jc w:val="center"/>
        <w:rPr>
          <w:rFonts w:ascii="Bookman Old Style" w:hAnsi="Bookman Old Style"/>
          <w:sz w:val="26"/>
          <w:u w:val="single"/>
        </w:rPr>
      </w:pPr>
      <w:r>
        <w:rPr>
          <w:rFonts w:ascii="Bookman Old Style" w:hAnsi="Bookman Old Style"/>
          <w:sz w:val="26"/>
          <w:u w:val="single"/>
        </w:rPr>
        <w:t>Comment</w:t>
      </w:r>
    </w:p>
    <w:p w:rsidR="00000000" w:rsidRDefault="00E679B5">
      <w:pPr>
        <w:jc w:val="center"/>
        <w:rPr>
          <w:rFonts w:ascii="Bookman Old Style" w:hAnsi="Bookman Old Style"/>
          <w:sz w:val="26"/>
          <w:u w:val="single"/>
        </w:rPr>
      </w:pPr>
    </w:p>
    <w:p w:rsidR="00000000" w:rsidRDefault="00E679B5">
      <w:pPr>
        <w:jc w:val="both"/>
        <w:rPr>
          <w:rFonts w:ascii="Bookman Old Style" w:hAnsi="Bookman Old Style"/>
          <w:sz w:val="26"/>
        </w:rPr>
      </w:pPr>
      <w:r>
        <w:rPr>
          <w:rFonts w:ascii="Bookman Old Style" w:hAnsi="Bookman Old Style"/>
          <w:sz w:val="26"/>
        </w:rPr>
        <w:t xml:space="preserve">The Alaska Supreme Court has authorized detention short of arrest by peace officers on reasonable suspicion.  </w:t>
      </w:r>
      <w:r>
        <w:rPr>
          <w:rFonts w:ascii="Bookman Old Style" w:hAnsi="Bookman Old Style"/>
          <w:sz w:val="26"/>
          <w:u w:val="single"/>
        </w:rPr>
        <w:t>Coleman v. State</w:t>
      </w:r>
      <w:r>
        <w:rPr>
          <w:rFonts w:ascii="Bookman Old Style" w:hAnsi="Bookman Old Style"/>
          <w:sz w:val="26"/>
        </w:rPr>
        <w:t xml:space="preserve">, 553 P.2d 40 (Alaska 1976) (reasonable suspicion that imminent public danger exists or serious harm to persons or property); </w:t>
      </w:r>
      <w:r>
        <w:rPr>
          <w:rFonts w:ascii="Bookman Old Style" w:hAnsi="Bookman Old Style"/>
          <w:sz w:val="26"/>
          <w:u w:val="single"/>
        </w:rPr>
        <w:t>Goss v. State</w:t>
      </w:r>
      <w:r>
        <w:rPr>
          <w:rFonts w:ascii="Bookman Old Style" w:hAnsi="Bookman Old Style"/>
          <w:sz w:val="26"/>
        </w:rPr>
        <w:t>, 390 P.2d 220</w:t>
      </w:r>
      <w:r>
        <w:rPr>
          <w:rFonts w:ascii="Bookman Old Style" w:hAnsi="Bookman Old Style"/>
          <w:sz w:val="26"/>
        </w:rPr>
        <w:t xml:space="preserve"> (Alaska 1964); </w:t>
      </w:r>
      <w:r>
        <w:rPr>
          <w:rFonts w:ascii="Bookman Old Style" w:hAnsi="Bookman Old Style"/>
          <w:sz w:val="26"/>
          <w:u w:val="single"/>
        </w:rPr>
        <w:t>Maze v. State</w:t>
      </w:r>
      <w:r>
        <w:rPr>
          <w:rFonts w:ascii="Bookman Old Style" w:hAnsi="Bookman Old Style"/>
          <w:sz w:val="26"/>
        </w:rPr>
        <w:t xml:space="preserve">, 425 P.2d 235 (Alaska 1967).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also</w:t>
      </w:r>
      <w:r>
        <w:rPr>
          <w:rFonts w:ascii="Bookman Old Style" w:hAnsi="Bookman Old Style"/>
          <w:sz w:val="26"/>
        </w:rPr>
        <w:t xml:space="preserve">, </w:t>
      </w:r>
      <w:r>
        <w:rPr>
          <w:rFonts w:ascii="Bookman Old Style" w:hAnsi="Bookman Old Style"/>
          <w:sz w:val="26"/>
          <w:u w:val="single"/>
        </w:rPr>
        <w:t>Terry v. Ohio</w:t>
      </w:r>
      <w:r>
        <w:rPr>
          <w:rFonts w:ascii="Bookman Old Style" w:hAnsi="Bookman Old Style"/>
          <w:sz w:val="26"/>
        </w:rPr>
        <w:t xml:space="preserve">, 392 U.S. 1 (1968).  In </w:t>
      </w:r>
      <w:r>
        <w:rPr>
          <w:rFonts w:ascii="Bookman Old Style" w:hAnsi="Bookman Old Style"/>
          <w:sz w:val="26"/>
          <w:u w:val="single"/>
        </w:rPr>
        <w:t>City of Nome v. Ailak</w:t>
      </w:r>
      <w:r>
        <w:rPr>
          <w:rFonts w:ascii="Bookman Old Style" w:hAnsi="Bookman Old Style"/>
          <w:sz w:val="26"/>
        </w:rPr>
        <w:t xml:space="preserve">, 570 P.2d 162, </w:t>
      </w:r>
      <w:r>
        <w:rPr>
          <w:rFonts w:ascii="Bookman Old Style" w:hAnsi="Bookman Old Style"/>
          <w:sz w:val="26"/>
        </w:rPr>
        <w:lastRenderedPageBreak/>
        <w:t>172, such detentions would also serve as a defense to a cause of action for false imprisonment.</w:t>
      </w:r>
    </w:p>
    <w:p w:rsidR="00000000" w:rsidRDefault="00E679B5">
      <w:pPr>
        <w:jc w:val="both"/>
        <w:rPr>
          <w:rFonts w:ascii="Bookman Old Style" w:hAnsi="Bookman Old Style"/>
          <w:sz w:val="26"/>
        </w:rPr>
      </w:pPr>
    </w:p>
    <w:p w:rsidR="00000000" w:rsidRDefault="00E679B5">
      <w:pPr>
        <w:jc w:val="both"/>
        <w:rPr>
          <w:rFonts w:ascii="Bookman Old Style" w:hAnsi="Bookman Old Style"/>
          <w:sz w:val="26"/>
        </w:rPr>
      </w:pPr>
      <w:r>
        <w:rPr>
          <w:rFonts w:ascii="Bookman Old Style" w:hAnsi="Bookman Old Style"/>
          <w:sz w:val="26"/>
        </w:rPr>
        <w:t xml:space="preserve">It is not clear the extent to which the question of reasonable suspicion is for the jury.  Presumable, it would be treated the same as probable cause in arrest cases.  </w:t>
      </w:r>
      <w:r>
        <w:rPr>
          <w:rFonts w:ascii="Bookman Old Style" w:hAnsi="Bookman Old Style"/>
          <w:sz w:val="26"/>
          <w:u w:val="single"/>
        </w:rPr>
        <w:t>See</w:t>
      </w:r>
      <w:r>
        <w:rPr>
          <w:rFonts w:ascii="Bookman Old Style" w:hAnsi="Bookman Old Style"/>
          <w:sz w:val="26"/>
        </w:rPr>
        <w:t xml:space="preserve"> Use Note to Instruction 15.04.</w:t>
      </w:r>
    </w:p>
    <w:p w:rsidR="00000000" w:rsidRDefault="00E679B5">
      <w:pPr>
        <w:jc w:val="both"/>
        <w:rPr>
          <w:rFonts w:ascii="Bookman Old Style" w:hAnsi="Bookman Old Style"/>
          <w:sz w:val="26"/>
        </w:rPr>
      </w:pPr>
    </w:p>
    <w:sectPr w:rsidR="00000000">
      <w:footerReference w:type="default" r:id="rId7"/>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79B5">
      <w:r>
        <w:separator/>
      </w:r>
    </w:p>
  </w:endnote>
  <w:endnote w:type="continuationSeparator" w:id="0">
    <w:p w:rsidR="00000000" w:rsidRDefault="00E6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79B5">
    <w:pPr>
      <w:pStyle w:val="Footer"/>
      <w:tabs>
        <w:tab w:val="clear" w:pos="8640"/>
        <w:tab w:val="right" w:pos="9090"/>
      </w:tabs>
      <w:rPr>
        <w:rFonts w:ascii="Bookman Old Style" w:hAnsi="Bookman Old Style"/>
        <w:sz w:val="24"/>
      </w:rPr>
    </w:pPr>
    <w:r>
      <w:rPr>
        <w:rFonts w:ascii="Bookman Old Style" w:hAnsi="Bookman Old Style"/>
        <w:sz w:val="24"/>
      </w:rPr>
      <w:tab/>
    </w:r>
    <w:r>
      <w:rPr>
        <w:rFonts w:ascii="Bookman Old Style" w:hAnsi="Bookman Old Style"/>
        <w:sz w:val="24"/>
      </w:rPr>
      <w:tab/>
      <w:t xml:space="preserve">15.06 – </w:t>
    </w:r>
    <w:r>
      <w:rPr>
        <w:rStyle w:val="PageNumber"/>
        <w:rFonts w:ascii="Bookman Old Style" w:hAnsi="Bookman Old Style"/>
        <w:sz w:val="24"/>
      </w:rPr>
      <w:fldChar w:fldCharType="begin"/>
    </w:r>
    <w:r>
      <w:rPr>
        <w:rStyle w:val="PageNumber"/>
        <w:rFonts w:ascii="Bookman Old Style" w:hAnsi="Bookman Old Style"/>
        <w:sz w:val="24"/>
      </w:rPr>
      <w:instrText xml:space="preserve"> PAGE </w:instrText>
    </w:r>
    <w:r>
      <w:rPr>
        <w:rStyle w:val="PageNumber"/>
        <w:rFonts w:ascii="Bookman Old Style" w:hAnsi="Bookman Old Style"/>
        <w:sz w:val="24"/>
      </w:rPr>
      <w:fldChar w:fldCharType="separate"/>
    </w:r>
    <w:r w:rsidR="00756F9B">
      <w:rPr>
        <w:rStyle w:val="PageNumber"/>
        <w:rFonts w:ascii="Bookman Old Style" w:hAnsi="Bookman Old Style"/>
        <w:noProof/>
        <w:sz w:val="24"/>
      </w:rPr>
      <w:t>1</w:t>
    </w:r>
    <w:r>
      <w:rPr>
        <w:rStyle w:val="PageNumber"/>
        <w:rFonts w:ascii="Bookman Old Style" w:hAnsi="Bookman Old Style"/>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79B5">
      <w:r>
        <w:separator/>
      </w:r>
    </w:p>
  </w:footnote>
  <w:footnote w:type="continuationSeparator" w:id="0">
    <w:p w:rsidR="00000000" w:rsidRDefault="00E679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F9B"/>
    <w:rsid w:val="00756F9B"/>
    <w:rsid w:val="00E67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pPr>
      <w:widowControl w:val="0"/>
      <w:ind w:left="1440" w:hanging="1440"/>
      <w:jc w:val="both"/>
    </w:pPr>
    <w:rPr>
      <w:rFonts w:ascii="Bookman Old Style" w:hAnsi="Bookman Old Style"/>
      <w:b/>
      <w:sz w:val="26"/>
    </w:rPr>
  </w:style>
  <w:style w:type="paragraph" w:styleId="BodyText">
    <w:name w:val="Body Text"/>
    <w:basedOn w:val="Normal"/>
    <w:semiHidden/>
    <w:pPr>
      <w:jc w:val="both"/>
    </w:pPr>
    <w:rPr>
      <w:rFonts w:ascii="Bookman Old Style" w:hAnsi="Bookman Old Style"/>
      <w:sz w:val="26"/>
    </w:r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pPr>
      <w:widowControl w:val="0"/>
      <w:ind w:left="1440" w:hanging="1440"/>
      <w:jc w:val="both"/>
    </w:pPr>
    <w:rPr>
      <w:rFonts w:ascii="Bookman Old Style" w:hAnsi="Bookman Old Style"/>
      <w:b/>
      <w:sz w:val="26"/>
    </w:rPr>
  </w:style>
  <w:style w:type="paragraph" w:styleId="BodyText">
    <w:name w:val="Body Text"/>
    <w:basedOn w:val="Normal"/>
    <w:semiHidden/>
    <w:pPr>
      <w:jc w:val="both"/>
    </w:pPr>
    <w:rPr>
      <w:rFonts w:ascii="Bookman Old Style" w:hAnsi="Bookman Old Style"/>
      <w:sz w:val="26"/>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1469</Characters>
  <Application>Microsoft Office Word</Application>
  <DocSecurity>0</DocSecurity>
  <Lines>12</Lines>
  <Paragraphs>3</Paragraphs>
  <ScaleCrop>false</ScaleCrop>
  <Company>Alaska Court System</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korzechowski</dc:creator>
  <cp:keywords/>
  <dc:description/>
  <cp:lastModifiedBy>Michael Merrington</cp:lastModifiedBy>
  <cp:revision>3</cp:revision>
  <cp:lastPrinted>2000-09-13T22:42:00Z</cp:lastPrinted>
  <dcterms:created xsi:type="dcterms:W3CDTF">2017-04-04T18:50:00Z</dcterms:created>
  <dcterms:modified xsi:type="dcterms:W3CDTF">2017-04-04T18:50:00Z</dcterms:modified>
</cp:coreProperties>
</file>