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26F6">
      <w:pPr>
        <w:spacing w:line="360" w:lineRule="auto"/>
        <w:jc w:val="both"/>
        <w:rPr>
          <w:rFonts w:ascii="Bookman Old Style" w:hAnsi="Bookman Old Style"/>
          <w:b/>
          <w:sz w:val="26"/>
        </w:rPr>
      </w:pPr>
      <w:bookmarkStart w:id="0" w:name="_GoBack"/>
      <w:bookmarkEnd w:id="0"/>
      <w:r>
        <w:rPr>
          <w:rFonts w:ascii="Bookman Old Style" w:hAnsi="Bookman Old Style"/>
          <w:b/>
          <w:sz w:val="26"/>
        </w:rPr>
        <w:t>15.07</w:t>
      </w:r>
      <w:r>
        <w:rPr>
          <w:rFonts w:ascii="Bookman Old Style" w:hAnsi="Bookman Old Style"/>
          <w:b/>
          <w:sz w:val="26"/>
        </w:rPr>
        <w:tab/>
        <w:t>GOOD FAITH DEFENSE  –  PEACE OFFICERS</w:t>
      </w:r>
    </w:p>
    <w:p w:rsidR="00000000" w:rsidRDefault="006226F6">
      <w:pPr>
        <w:spacing w:line="360" w:lineRule="auto"/>
        <w:jc w:val="both"/>
        <w:rPr>
          <w:rFonts w:ascii="Bookman Old Style" w:hAnsi="Bookman Old Style"/>
          <w:b/>
          <w:sz w:val="26"/>
        </w:rPr>
      </w:pPr>
    </w:p>
    <w:p w:rsidR="00000000" w:rsidRDefault="006226F6">
      <w:pPr>
        <w:spacing w:line="360" w:lineRule="auto"/>
        <w:jc w:val="both"/>
        <w:rPr>
          <w:rFonts w:ascii="Bookman Old Style" w:hAnsi="Bookman Old Style"/>
          <w:b/>
          <w:sz w:val="26"/>
        </w:rPr>
      </w:pPr>
    </w:p>
    <w:p w:rsidR="00000000" w:rsidRDefault="006226F6">
      <w:pPr>
        <w:spacing w:line="360" w:lineRule="auto"/>
        <w:jc w:val="both"/>
        <w:rPr>
          <w:rFonts w:ascii="Bookman Old Style" w:hAnsi="Bookman Old Style"/>
          <w:sz w:val="26"/>
        </w:rPr>
      </w:pPr>
      <w:r>
        <w:rPr>
          <w:rFonts w:ascii="Bookman Old Style" w:hAnsi="Bookman Old Style"/>
          <w:sz w:val="26"/>
        </w:rPr>
        <w:t>No instruction.</w:t>
      </w:r>
    </w:p>
    <w:p w:rsidR="00000000" w:rsidRDefault="006226F6">
      <w:pPr>
        <w:spacing w:line="360" w:lineRule="auto"/>
        <w:jc w:val="both"/>
        <w:rPr>
          <w:rFonts w:ascii="Bookman Old Style" w:hAnsi="Bookman Old Style"/>
          <w:sz w:val="26"/>
        </w:rPr>
      </w:pPr>
    </w:p>
    <w:p w:rsidR="00000000" w:rsidRDefault="006226F6">
      <w:pPr>
        <w:spacing w:line="360" w:lineRule="auto"/>
        <w:jc w:val="both"/>
        <w:rPr>
          <w:rFonts w:ascii="Bookman Old Style" w:hAnsi="Bookman Old Style"/>
          <w:sz w:val="26"/>
        </w:rPr>
      </w:pPr>
    </w:p>
    <w:p w:rsidR="00000000" w:rsidRDefault="006226F6">
      <w:pPr>
        <w:pStyle w:val="Heading1"/>
      </w:pPr>
      <w:r>
        <w:t>Comment</w:t>
      </w:r>
    </w:p>
    <w:p w:rsidR="00000000" w:rsidRDefault="006226F6">
      <w:pPr>
        <w:jc w:val="center"/>
        <w:rPr>
          <w:rFonts w:ascii="Bookman Old Style" w:hAnsi="Bookman Old Style"/>
          <w:sz w:val="26"/>
          <w:u w:val="single"/>
        </w:rPr>
      </w:pPr>
    </w:p>
    <w:p w:rsidR="00000000" w:rsidRDefault="006226F6">
      <w:pPr>
        <w:pStyle w:val="BodyText"/>
      </w:pPr>
      <w:r>
        <w:t>The Alaska Supreme Court has noted that some jurisdictions provide police officers with a defense to a false arrest action if they acted with reasonable good faith even though they di</w:t>
      </w:r>
      <w:r>
        <w:t xml:space="preserve">d not have probable cause.  </w:t>
      </w:r>
      <w:r>
        <w:rPr>
          <w:u w:val="single"/>
        </w:rPr>
        <w:t>City of Nome v. Ailak</w:t>
      </w:r>
      <w:r>
        <w:t>, 570 P.2d 162, 171 n.24 (Alaska 1977).  The court avoided deciding whether such a defense is applicable under Alaska law.</w:t>
      </w:r>
    </w:p>
    <w:p w:rsidR="00000000" w:rsidRDefault="006226F6">
      <w:pPr>
        <w:jc w:val="both"/>
        <w:rPr>
          <w:rFonts w:ascii="Bookman Old Style" w:hAnsi="Bookman Old Style"/>
          <w:sz w:val="26"/>
        </w:rPr>
      </w:pPr>
    </w:p>
    <w:p w:rsidR="00000000" w:rsidRDefault="006226F6">
      <w:pPr>
        <w:jc w:val="both"/>
        <w:rPr>
          <w:rFonts w:ascii="Bookman Old Style" w:hAnsi="Bookman Old Style"/>
          <w:sz w:val="26"/>
        </w:rPr>
      </w:pPr>
      <w:r>
        <w:rPr>
          <w:rFonts w:ascii="Bookman Old Style" w:hAnsi="Bookman Old Style"/>
          <w:sz w:val="26"/>
        </w:rPr>
        <w:t>No instruction is provided due to the difficulty of projecting if Alaska law provid</w:t>
      </w:r>
      <w:r>
        <w:rPr>
          <w:rFonts w:ascii="Bookman Old Style" w:hAnsi="Bookman Old Style"/>
          <w:sz w:val="26"/>
        </w:rPr>
        <w:t xml:space="preserve">es a good faith defense and, if so, the nature of the defense.  The court suggested that such defense is in part subjective, i.e., what the officer actually thought, but that it must be based on objective evidence.  </w:t>
      </w:r>
      <w:r>
        <w:rPr>
          <w:rFonts w:ascii="Bookman Old Style" w:hAnsi="Bookman Old Style"/>
          <w:sz w:val="26"/>
          <w:u w:val="single"/>
        </w:rPr>
        <w:t>City of Nome</w:t>
      </w:r>
      <w:r>
        <w:rPr>
          <w:rFonts w:ascii="Bookman Old Style" w:hAnsi="Bookman Old Style"/>
          <w:sz w:val="26"/>
        </w:rPr>
        <w:t>, 570 P.2d at 172.</w:t>
      </w:r>
    </w:p>
    <w:p w:rsidR="00000000" w:rsidRDefault="006226F6">
      <w:pPr>
        <w:jc w:val="both"/>
        <w:rPr>
          <w:rFonts w:ascii="Bookman Old Style" w:hAnsi="Bookman Old Style"/>
          <w:sz w:val="26"/>
        </w:rPr>
      </w:pPr>
    </w:p>
    <w:p w:rsidR="00000000" w:rsidRDefault="006226F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The issu</w:t>
      </w:r>
      <w:r>
        <w:rPr>
          <w:rFonts w:ascii="Bookman Old Style" w:hAnsi="Bookman Old Style"/>
          <w:sz w:val="26"/>
        </w:rPr>
        <w:t xml:space="preserve">e is also confused because false arrest cases also can be brought as a federal civil rights action under 42 U.S.C. § 1983 which has its own good faith defense.  </w:t>
      </w:r>
      <w:proofErr w:type="spellStart"/>
      <w:r>
        <w:rPr>
          <w:rFonts w:ascii="Bookman Old Style" w:hAnsi="Bookman Old Style"/>
          <w:sz w:val="26"/>
          <w:u w:val="single"/>
        </w:rPr>
        <w:t>Pierseon</w:t>
      </w:r>
      <w:proofErr w:type="spellEnd"/>
      <w:r>
        <w:rPr>
          <w:rFonts w:ascii="Bookman Old Style" w:hAnsi="Bookman Old Style"/>
          <w:sz w:val="26"/>
          <w:u w:val="single"/>
        </w:rPr>
        <w:t xml:space="preserve"> v. Ray</w:t>
      </w:r>
      <w:r>
        <w:rPr>
          <w:rFonts w:ascii="Bookman Old Style" w:hAnsi="Bookman Old Style"/>
          <w:sz w:val="26"/>
        </w:rPr>
        <w:t>, 386 U.S. 547 (1967).  But good faith is not a defense when a municipality itse</w:t>
      </w:r>
      <w:r>
        <w:rPr>
          <w:rFonts w:ascii="Bookman Old Style" w:hAnsi="Bookman Old Style"/>
          <w:sz w:val="26"/>
        </w:rPr>
        <w:t xml:space="preserve">lf is named as a defendant.  </w:t>
      </w:r>
      <w:r>
        <w:rPr>
          <w:rFonts w:ascii="Bookman Old Style" w:hAnsi="Bookman Old Style"/>
          <w:sz w:val="26"/>
          <w:u w:val="single"/>
        </w:rPr>
        <w:t>Owen v. City of Independence</w:t>
      </w:r>
      <w:r>
        <w:rPr>
          <w:rFonts w:ascii="Bookman Old Style" w:hAnsi="Bookman Old Style"/>
          <w:sz w:val="26"/>
        </w:rPr>
        <w:t>, 444 U.S. 822 (1980).</w:t>
      </w:r>
    </w:p>
    <w:p w:rsidR="00000000" w:rsidRDefault="006226F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Bookman Old Style" w:hAnsi="Bookman Old Style"/>
          <w:sz w:val="26"/>
        </w:rPr>
      </w:pPr>
    </w:p>
    <w:p w:rsidR="00000000" w:rsidRDefault="006226F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Bookman Old Style" w:hAnsi="Bookman Old Style"/>
          <w:snapToGrid w:val="0"/>
          <w:vanish/>
          <w:sz w:val="26"/>
        </w:rPr>
      </w:pPr>
    </w:p>
    <w:p w:rsidR="00000000" w:rsidRDefault="006226F6">
      <w:pPr>
        <w:jc w:val="both"/>
        <w:rPr>
          <w:rFonts w:ascii="Bookman Old Style" w:hAnsi="Bookman Old Style"/>
          <w:sz w:val="26"/>
        </w:rPr>
      </w:pPr>
    </w:p>
    <w:sectPr w:rsidR="00000000">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A7"/>
    <w:rsid w:val="006226F6"/>
    <w:rsid w:val="00EA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15</vt:lpstr>
    </vt:vector>
  </TitlesOfParts>
  <Company>Alaska Court System</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korzechowski</dc:creator>
  <cp:keywords/>
  <cp:lastModifiedBy>Michael Merrington</cp:lastModifiedBy>
  <cp:revision>3</cp:revision>
  <cp:lastPrinted>2000-12-18T22:39:00Z</cp:lastPrinted>
  <dcterms:created xsi:type="dcterms:W3CDTF">2017-04-04T18:50:00Z</dcterms:created>
  <dcterms:modified xsi:type="dcterms:W3CDTF">2017-04-04T18:50:00Z</dcterms:modified>
</cp:coreProperties>
</file>