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7D2" w:rsidRDefault="000A67D2">
      <w:pPr>
        <w:tabs>
          <w:tab w:val="left" w:pos="-1440"/>
          <w:tab w:val="left" w:pos="-720"/>
          <w:tab w:val="left" w:pos="1440"/>
        </w:tabs>
        <w:ind w:left="1440" w:hanging="1440"/>
        <w:jc w:val="both"/>
        <w:rPr>
          <w:rFonts w:ascii="Bookman Old Style" w:hAnsi="Bookman Old Style" w:cs="Bookman Old Style"/>
          <w:b/>
          <w:bCs/>
          <w:snapToGrid w:val="0"/>
          <w:sz w:val="26"/>
          <w:szCs w:val="26"/>
        </w:rPr>
      </w:pPr>
      <w:bookmarkStart w:id="0" w:name="_GoBack"/>
      <w:bookmarkEnd w:id="0"/>
      <w:r>
        <w:rPr>
          <w:rFonts w:ascii="Bookman Old Style" w:hAnsi="Bookman Old Style" w:cs="Bookman Old Style"/>
          <w:b/>
          <w:bCs/>
          <w:snapToGrid w:val="0"/>
          <w:sz w:val="26"/>
          <w:szCs w:val="26"/>
        </w:rPr>
        <w:t>16.01</w:t>
      </w:r>
      <w:r>
        <w:rPr>
          <w:rFonts w:ascii="Bookman Old Style" w:hAnsi="Bookman Old Style" w:cs="Bookman Old Style"/>
          <w:b/>
          <w:bCs/>
          <w:snapToGrid w:val="0"/>
          <w:sz w:val="26"/>
          <w:szCs w:val="26"/>
        </w:rPr>
        <w:tab/>
        <w:t>DEFAMATION</w:t>
      </w:r>
      <w:r>
        <w:rPr>
          <w:b/>
          <w:bCs/>
        </w:rPr>
        <w:t xml:space="preserve"> </w:t>
      </w:r>
      <w:r>
        <w:rPr>
          <w:rFonts w:ascii="Bookman Old Style" w:hAnsi="Bookman Old Style" w:cs="Bookman Old Style"/>
          <w:b/>
          <w:bCs/>
          <w:sz w:val="26"/>
          <w:szCs w:val="26"/>
        </w:rPr>
        <w:t xml:space="preserve">— </w:t>
      </w:r>
      <w:r>
        <w:rPr>
          <w:rFonts w:ascii="Bookman Old Style" w:hAnsi="Bookman Old Style" w:cs="Bookman Old Style"/>
          <w:b/>
          <w:bCs/>
          <w:snapToGrid w:val="0"/>
          <w:sz w:val="26"/>
          <w:szCs w:val="26"/>
        </w:rPr>
        <w:t>ELEMENTS O</w:t>
      </w:r>
      <w:r w:rsidR="00233AC8">
        <w:rPr>
          <w:rFonts w:ascii="Bookman Old Style" w:hAnsi="Bookman Old Style" w:cs="Bookman Old Style"/>
          <w:b/>
          <w:bCs/>
          <w:snapToGrid w:val="0"/>
          <w:sz w:val="26"/>
          <w:szCs w:val="26"/>
        </w:rPr>
        <w:t>F DEFAMATION PER SE</w:t>
      </w:r>
      <w:r w:rsidR="00BC6FC4">
        <w:rPr>
          <w:rFonts w:ascii="Bookman Old Style" w:hAnsi="Bookman Old Style" w:cs="Bookman Old Style"/>
          <w:b/>
          <w:bCs/>
          <w:snapToGrid w:val="0"/>
          <w:sz w:val="26"/>
          <w:szCs w:val="26"/>
        </w:rPr>
        <w:t xml:space="preserve"> WHERE PLAINTIFF IS NOT </w:t>
      </w:r>
      <w:r w:rsidR="003B62A8">
        <w:rPr>
          <w:rFonts w:ascii="Bookman Old Style" w:hAnsi="Bookman Old Style" w:cs="Bookman Old Style"/>
          <w:b/>
          <w:bCs/>
          <w:snapToGrid w:val="0"/>
          <w:sz w:val="26"/>
          <w:szCs w:val="26"/>
        </w:rPr>
        <w:t>PUBLIC FIGURE AND STATEMENT DOES NOT RELATE TO ISSUE OF PUBLIC INTEREST OR CONCERN</w:t>
      </w:r>
    </w:p>
    <w:p w:rsidR="000A67D2" w:rsidRDefault="000A67D2">
      <w:pPr>
        <w:tabs>
          <w:tab w:val="left" w:pos="-1440"/>
          <w:tab w:val="left" w:pos="-720"/>
          <w:tab w:val="left" w:pos="990"/>
        </w:tabs>
        <w:spacing w:line="360" w:lineRule="auto"/>
        <w:ind w:left="990" w:hanging="990"/>
        <w:jc w:val="both"/>
        <w:rPr>
          <w:rFonts w:ascii="Bookman Old Style" w:hAnsi="Bookman Old Style" w:cs="Bookman Old Style"/>
          <w:snapToGrid w:val="0"/>
          <w:sz w:val="26"/>
          <w:szCs w:val="26"/>
        </w:rPr>
      </w:pPr>
    </w:p>
    <w:p w:rsidR="00FA1B9F" w:rsidRDefault="000A67D2" w:rsidP="00FA1B9F">
      <w:pPr>
        <w:pStyle w:val="BodyText2"/>
      </w:pPr>
      <w:r>
        <w:t>In this case, the plaintiff claims that the defendant harmed the plaintiff's reputation by making</w:t>
      </w:r>
      <w:r w:rsidR="00233AC8">
        <w:t xml:space="preserve"> </w:t>
      </w:r>
      <w:r w:rsidR="00C304D7">
        <w:t xml:space="preserve">a false </w:t>
      </w:r>
      <w:r w:rsidR="00233AC8">
        <w:t>statement about the plaintiff</w:t>
      </w:r>
      <w:r>
        <w:t xml:space="preserve">.  </w:t>
      </w:r>
      <w:r w:rsidR="00FA1B9F">
        <w:t>To establish this cla</w:t>
      </w:r>
      <w:r w:rsidR="00BF110E">
        <w:t xml:space="preserve">im, the plaintiff must prove that each of the following elements is more likely true than not true: </w:t>
      </w:r>
    </w:p>
    <w:p w:rsidR="00C304D7" w:rsidRDefault="00C304D7" w:rsidP="00FA1B9F">
      <w:pPr>
        <w:pStyle w:val="BodyText2"/>
      </w:pPr>
    </w:p>
    <w:p w:rsidR="00C304D7" w:rsidRDefault="00C304D7" w:rsidP="006568D0">
      <w:pPr>
        <w:pStyle w:val="BodyText2"/>
        <w:ind w:left="720" w:hanging="720"/>
      </w:pPr>
      <w:r>
        <w:t>[1]</w:t>
      </w:r>
      <w:r>
        <w:tab/>
        <w:t xml:space="preserve">the defendant made the </w:t>
      </w:r>
      <w:r w:rsidR="00683FC6">
        <w:t xml:space="preserve">following </w:t>
      </w:r>
      <w:r>
        <w:t>statement</w:t>
      </w:r>
      <w:r w:rsidR="00683FC6">
        <w:t>:</w:t>
      </w:r>
      <w:r>
        <w:t xml:space="preserve"> [insert statement </w:t>
      </w:r>
      <w:r w:rsidR="00707936">
        <w:t>determined by the court to</w:t>
      </w:r>
      <w:r>
        <w:t xml:space="preserve"> be defamatory per se]</w:t>
      </w:r>
    </w:p>
    <w:p w:rsidR="000A67D2" w:rsidRDefault="000A67D2">
      <w:pPr>
        <w:tabs>
          <w:tab w:val="left" w:pos="-1440"/>
          <w:tab w:val="left" w:pos="-720"/>
          <w:tab w:val="left" w:pos="990"/>
        </w:tabs>
        <w:spacing w:line="360" w:lineRule="auto"/>
        <w:ind w:left="990" w:hanging="990"/>
        <w:jc w:val="both"/>
        <w:rPr>
          <w:rFonts w:ascii="Bookman Old Style" w:hAnsi="Bookman Old Style" w:cs="Bookman Old Style"/>
          <w:snapToGrid w:val="0"/>
          <w:sz w:val="26"/>
          <w:szCs w:val="26"/>
        </w:rPr>
      </w:pPr>
    </w:p>
    <w:p w:rsidR="000A67D2" w:rsidRDefault="000A67D2">
      <w:pPr>
        <w:tabs>
          <w:tab w:val="left" w:pos="-1440"/>
          <w:tab w:val="left" w:pos="-720"/>
          <w:tab w:val="left" w:pos="720"/>
        </w:tabs>
        <w:spacing w:line="360" w:lineRule="auto"/>
        <w:ind w:left="720" w:hanging="720"/>
        <w:jc w:val="both"/>
        <w:rPr>
          <w:rFonts w:ascii="Bookman Old Style" w:hAnsi="Bookman Old Style" w:cs="Bookman Old Style"/>
          <w:snapToGrid w:val="0"/>
          <w:sz w:val="26"/>
          <w:szCs w:val="26"/>
        </w:rPr>
      </w:pPr>
      <w:r>
        <w:rPr>
          <w:rFonts w:ascii="Bookman Old Style" w:hAnsi="Bookman Old Style" w:cs="Bookman Old Style"/>
          <w:snapToGrid w:val="0"/>
          <w:sz w:val="26"/>
          <w:szCs w:val="26"/>
        </w:rPr>
        <w:t>(</w:t>
      </w:r>
      <w:r w:rsidR="00C304D7">
        <w:rPr>
          <w:rFonts w:ascii="Bookman Old Style" w:hAnsi="Bookman Old Style" w:cs="Bookman Old Style"/>
          <w:snapToGrid w:val="0"/>
          <w:sz w:val="26"/>
          <w:szCs w:val="26"/>
        </w:rPr>
        <w:t>2</w:t>
      </w:r>
      <w:r>
        <w:rPr>
          <w:rFonts w:ascii="Bookman Old Style" w:hAnsi="Bookman Old Style" w:cs="Bookman Old Style"/>
          <w:snapToGrid w:val="0"/>
          <w:sz w:val="26"/>
          <w:szCs w:val="26"/>
        </w:rPr>
        <w:t>)</w:t>
      </w:r>
      <w:r>
        <w:rPr>
          <w:rFonts w:ascii="Bookman Old Style" w:hAnsi="Bookman Old Style" w:cs="Bookman Old Style"/>
          <w:snapToGrid w:val="0"/>
          <w:sz w:val="26"/>
          <w:szCs w:val="26"/>
        </w:rPr>
        <w:tab/>
        <w:t xml:space="preserve">the defendant communicated the statement to a person other than the plaintiff; </w:t>
      </w:r>
    </w:p>
    <w:p w:rsidR="000A67D2" w:rsidRDefault="000A67D2">
      <w:pPr>
        <w:tabs>
          <w:tab w:val="left" w:pos="-1440"/>
          <w:tab w:val="left" w:pos="-720"/>
          <w:tab w:val="left" w:pos="720"/>
        </w:tabs>
        <w:spacing w:line="360" w:lineRule="auto"/>
        <w:ind w:left="720" w:hanging="720"/>
        <w:jc w:val="both"/>
        <w:rPr>
          <w:rFonts w:ascii="Bookman Old Style" w:hAnsi="Bookman Old Style" w:cs="Bookman Old Style"/>
          <w:snapToGrid w:val="0"/>
          <w:sz w:val="26"/>
          <w:szCs w:val="26"/>
        </w:rPr>
      </w:pPr>
    </w:p>
    <w:p w:rsidR="006568D0" w:rsidRDefault="000A67D2" w:rsidP="006568D0">
      <w:pPr>
        <w:tabs>
          <w:tab w:val="left" w:pos="-1440"/>
          <w:tab w:val="left" w:pos="-720"/>
          <w:tab w:val="left" w:pos="990"/>
        </w:tabs>
        <w:spacing w:line="360" w:lineRule="auto"/>
        <w:ind w:left="720" w:hanging="720"/>
        <w:jc w:val="both"/>
        <w:rPr>
          <w:rFonts w:ascii="Bookman Old Style" w:hAnsi="Bookman Old Style" w:cs="Bookman Old Style"/>
          <w:snapToGrid w:val="0"/>
          <w:sz w:val="26"/>
          <w:szCs w:val="26"/>
        </w:rPr>
      </w:pPr>
      <w:r>
        <w:rPr>
          <w:rFonts w:ascii="Bookman Old Style" w:hAnsi="Bookman Old Style" w:cs="Bookman Old Style"/>
          <w:snapToGrid w:val="0"/>
          <w:sz w:val="26"/>
          <w:szCs w:val="26"/>
        </w:rPr>
        <w:t>(</w:t>
      </w:r>
      <w:r w:rsidR="00C304D7">
        <w:rPr>
          <w:rFonts w:ascii="Bookman Old Style" w:hAnsi="Bookman Old Style" w:cs="Bookman Old Style"/>
          <w:snapToGrid w:val="0"/>
          <w:sz w:val="26"/>
          <w:szCs w:val="26"/>
        </w:rPr>
        <w:t>3</w:t>
      </w:r>
      <w:r>
        <w:rPr>
          <w:rFonts w:ascii="Bookman Old Style" w:hAnsi="Bookman Old Style" w:cs="Bookman Old Style"/>
          <w:snapToGrid w:val="0"/>
          <w:sz w:val="26"/>
          <w:szCs w:val="26"/>
        </w:rPr>
        <w:t>)</w:t>
      </w:r>
      <w:r>
        <w:rPr>
          <w:rFonts w:ascii="Bookman Old Style" w:hAnsi="Bookman Old Style" w:cs="Bookman Old Style"/>
          <w:snapToGrid w:val="0"/>
          <w:sz w:val="26"/>
          <w:szCs w:val="26"/>
        </w:rPr>
        <w:tab/>
        <w:t>the statement was reasonably understood by this person to be about the plaintiff;</w:t>
      </w:r>
    </w:p>
    <w:p w:rsidR="00E301BE" w:rsidRDefault="000A67D2" w:rsidP="006568D0">
      <w:pPr>
        <w:tabs>
          <w:tab w:val="left" w:pos="-1440"/>
          <w:tab w:val="left" w:pos="-720"/>
          <w:tab w:val="left" w:pos="990"/>
        </w:tabs>
        <w:spacing w:line="360" w:lineRule="auto"/>
        <w:ind w:left="720" w:hanging="720"/>
        <w:jc w:val="both"/>
        <w:rPr>
          <w:rFonts w:ascii="Bookman Old Style" w:hAnsi="Bookman Old Style" w:cs="Bookman Old Style"/>
          <w:snapToGrid w:val="0"/>
          <w:sz w:val="26"/>
          <w:szCs w:val="26"/>
        </w:rPr>
      </w:pPr>
      <w:r>
        <w:rPr>
          <w:rFonts w:ascii="Bookman Old Style" w:hAnsi="Bookman Old Style" w:cs="Bookman Old Style"/>
          <w:snapToGrid w:val="0"/>
          <w:sz w:val="26"/>
          <w:szCs w:val="26"/>
        </w:rPr>
        <w:t xml:space="preserve"> </w:t>
      </w:r>
    </w:p>
    <w:p w:rsidR="000A67D2" w:rsidRDefault="000A67D2">
      <w:pPr>
        <w:tabs>
          <w:tab w:val="left" w:pos="-1440"/>
          <w:tab w:val="left" w:pos="-720"/>
          <w:tab w:val="left" w:pos="720"/>
        </w:tabs>
        <w:spacing w:line="360" w:lineRule="auto"/>
        <w:ind w:left="720" w:hanging="720"/>
        <w:jc w:val="both"/>
        <w:rPr>
          <w:rFonts w:ascii="Bookman Old Style" w:hAnsi="Bookman Old Style" w:cs="Bookman Old Style"/>
          <w:snapToGrid w:val="0"/>
          <w:sz w:val="26"/>
          <w:szCs w:val="26"/>
        </w:rPr>
      </w:pPr>
      <w:r>
        <w:rPr>
          <w:rFonts w:ascii="Bookman Old Style" w:hAnsi="Bookman Old Style" w:cs="Bookman Old Style"/>
          <w:snapToGrid w:val="0"/>
          <w:sz w:val="26"/>
          <w:szCs w:val="26"/>
        </w:rPr>
        <w:t>(</w:t>
      </w:r>
      <w:r w:rsidR="00C304D7">
        <w:rPr>
          <w:rFonts w:ascii="Bookman Old Style" w:hAnsi="Bookman Old Style" w:cs="Bookman Old Style"/>
          <w:snapToGrid w:val="0"/>
          <w:sz w:val="26"/>
          <w:szCs w:val="26"/>
        </w:rPr>
        <w:t>4</w:t>
      </w:r>
      <w:r>
        <w:rPr>
          <w:rFonts w:ascii="Bookman Old Style" w:hAnsi="Bookman Old Style" w:cs="Bookman Old Style"/>
          <w:snapToGrid w:val="0"/>
          <w:sz w:val="26"/>
          <w:szCs w:val="26"/>
        </w:rPr>
        <w:t>)</w:t>
      </w:r>
      <w:r>
        <w:rPr>
          <w:rFonts w:ascii="Bookman Old Style" w:hAnsi="Bookman Old Style" w:cs="Bookman Old Style"/>
          <w:snapToGrid w:val="0"/>
          <w:sz w:val="26"/>
          <w:szCs w:val="26"/>
        </w:rPr>
        <w:tab/>
        <w:t>the statement was false; and</w:t>
      </w:r>
    </w:p>
    <w:p w:rsidR="00FA625D" w:rsidRDefault="00FA625D" w:rsidP="00FA625D">
      <w:pPr>
        <w:tabs>
          <w:tab w:val="left" w:pos="-1440"/>
          <w:tab w:val="left" w:pos="-720"/>
        </w:tabs>
        <w:spacing w:line="360" w:lineRule="auto"/>
        <w:ind w:left="360"/>
        <w:jc w:val="both"/>
        <w:rPr>
          <w:rFonts w:ascii="Bookman Old Style" w:hAnsi="Bookman Old Style" w:cs="Bookman Old Style"/>
          <w:snapToGrid w:val="0"/>
          <w:sz w:val="26"/>
          <w:szCs w:val="24"/>
        </w:rPr>
      </w:pPr>
    </w:p>
    <w:p w:rsidR="000A67D2" w:rsidRPr="00BF110E" w:rsidRDefault="00FA625D" w:rsidP="00FA625D">
      <w:pPr>
        <w:tabs>
          <w:tab w:val="left" w:pos="-1440"/>
          <w:tab w:val="left" w:pos="-720"/>
        </w:tabs>
        <w:spacing w:line="360" w:lineRule="auto"/>
        <w:ind w:left="720" w:hanging="720"/>
        <w:jc w:val="both"/>
        <w:rPr>
          <w:rFonts w:ascii="Bookman Old Style" w:hAnsi="Bookman Old Style"/>
          <w:sz w:val="26"/>
          <w:szCs w:val="24"/>
        </w:rPr>
      </w:pPr>
      <w:r>
        <w:rPr>
          <w:rFonts w:ascii="Bookman Old Style" w:hAnsi="Bookman Old Style" w:cs="Bookman Old Style"/>
          <w:snapToGrid w:val="0"/>
          <w:sz w:val="26"/>
          <w:szCs w:val="24"/>
        </w:rPr>
        <w:t>(</w:t>
      </w:r>
      <w:r w:rsidR="00C304D7">
        <w:rPr>
          <w:rFonts w:ascii="Bookman Old Style" w:hAnsi="Bookman Old Style" w:cs="Bookman Old Style"/>
          <w:snapToGrid w:val="0"/>
          <w:sz w:val="26"/>
          <w:szCs w:val="24"/>
        </w:rPr>
        <w:t>5</w:t>
      </w:r>
      <w:r>
        <w:rPr>
          <w:rFonts w:ascii="Bookman Old Style" w:hAnsi="Bookman Old Style" w:cs="Bookman Old Style"/>
          <w:snapToGrid w:val="0"/>
          <w:sz w:val="26"/>
          <w:szCs w:val="24"/>
        </w:rPr>
        <w:t>)</w:t>
      </w:r>
      <w:r>
        <w:rPr>
          <w:rFonts w:ascii="Bookman Old Style" w:hAnsi="Bookman Old Style" w:cs="Bookman Old Style"/>
          <w:snapToGrid w:val="0"/>
          <w:sz w:val="26"/>
          <w:szCs w:val="24"/>
        </w:rPr>
        <w:tab/>
      </w:r>
      <w:r w:rsidR="000A67D2" w:rsidRPr="00BF110E">
        <w:rPr>
          <w:rFonts w:ascii="Bookman Old Style" w:hAnsi="Bookman Old Style"/>
          <w:snapToGrid w:val="0"/>
          <w:sz w:val="26"/>
          <w:szCs w:val="24"/>
        </w:rPr>
        <w:t>the defendant knew the statement was false</w:t>
      </w:r>
      <w:r w:rsidR="00735BD0" w:rsidRPr="00BF110E">
        <w:rPr>
          <w:rFonts w:ascii="Bookman Old Style" w:hAnsi="Bookman Old Style"/>
          <w:snapToGrid w:val="0"/>
          <w:sz w:val="26"/>
          <w:szCs w:val="24"/>
        </w:rPr>
        <w:t xml:space="preserve"> or failed to use reasonable care </w:t>
      </w:r>
      <w:r w:rsidR="00395FB8" w:rsidRPr="00BF110E">
        <w:rPr>
          <w:rFonts w:ascii="Bookman Old Style" w:hAnsi="Bookman Old Style"/>
          <w:snapToGrid w:val="0"/>
          <w:sz w:val="26"/>
          <w:szCs w:val="24"/>
        </w:rPr>
        <w:t xml:space="preserve">to determine </w:t>
      </w:r>
      <w:r w:rsidR="0008557E" w:rsidRPr="00BF110E">
        <w:rPr>
          <w:rFonts w:ascii="Bookman Old Style" w:hAnsi="Bookman Old Style"/>
          <w:snapToGrid w:val="0"/>
          <w:sz w:val="26"/>
          <w:szCs w:val="24"/>
        </w:rPr>
        <w:t>whether the statement was true or false</w:t>
      </w:r>
      <w:r w:rsidR="000A67D2" w:rsidRPr="00BF110E">
        <w:rPr>
          <w:rFonts w:ascii="Bookman Old Style" w:hAnsi="Bookman Old Style"/>
          <w:sz w:val="26"/>
          <w:szCs w:val="24"/>
        </w:rPr>
        <w:t>.</w:t>
      </w:r>
    </w:p>
    <w:p w:rsidR="00BF110E" w:rsidRPr="00BF110E" w:rsidRDefault="00BF110E" w:rsidP="00BF110E">
      <w:pPr>
        <w:tabs>
          <w:tab w:val="left" w:pos="-1440"/>
          <w:tab w:val="left" w:pos="-720"/>
        </w:tabs>
        <w:spacing w:line="360" w:lineRule="auto"/>
        <w:jc w:val="both"/>
        <w:rPr>
          <w:rFonts w:ascii="Bookman Old Style" w:hAnsi="Bookman Old Style" w:cs="Bookman Old Style"/>
          <w:sz w:val="26"/>
          <w:szCs w:val="24"/>
        </w:rPr>
      </w:pPr>
    </w:p>
    <w:p w:rsidR="00BF110E" w:rsidRDefault="00BF110E" w:rsidP="00BF110E">
      <w:pPr>
        <w:pStyle w:val="BodyTextIndent2"/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left" w:pos="810"/>
        </w:tabs>
        <w:ind w:left="0" w:firstLine="0"/>
      </w:pPr>
      <w:r>
        <w:t xml:space="preserve">If the plaintiff fails to prove any one of these elements, you must </w:t>
      </w:r>
      <w:r w:rsidR="004F3305">
        <w:t>find</w:t>
      </w:r>
      <w:r>
        <w:t xml:space="preserve"> for the defendant</w:t>
      </w:r>
      <w:r w:rsidR="004F3305">
        <w:t xml:space="preserve"> on this claim</w:t>
      </w:r>
      <w:r>
        <w:t>.</w:t>
      </w:r>
    </w:p>
    <w:p w:rsidR="00395FB8" w:rsidRDefault="00395FB8">
      <w:pPr>
        <w:pStyle w:val="BodyTextIndent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</w:tabs>
        <w:ind w:left="0" w:firstLine="0"/>
      </w:pPr>
    </w:p>
    <w:p w:rsidR="000A33C2" w:rsidRDefault="00BF110E">
      <w:pPr>
        <w:pStyle w:val="BodyTextIndent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</w:tabs>
        <w:ind w:left="0" w:firstLine="0"/>
      </w:pPr>
      <w:r>
        <w:lastRenderedPageBreak/>
        <w:t xml:space="preserve">If the plaintiff proves all </w:t>
      </w:r>
      <w:r w:rsidR="004C58E2">
        <w:t>five</w:t>
      </w:r>
      <w:r>
        <w:t xml:space="preserve"> elements</w:t>
      </w:r>
      <w:r w:rsidR="000A67D2">
        <w:t xml:space="preserve">, [you must </w:t>
      </w:r>
      <w:r w:rsidR="004F3305">
        <w:t>find</w:t>
      </w:r>
      <w:r w:rsidR="000A67D2">
        <w:t xml:space="preserve"> for the plaintiff</w:t>
      </w:r>
      <w:r w:rsidR="004F3305">
        <w:t xml:space="preserve"> on this claim</w:t>
      </w:r>
      <w:r w:rsidR="000A67D2">
        <w:t xml:space="preserve">] [you must </w:t>
      </w:r>
      <w:r w:rsidR="000A33C2">
        <w:t xml:space="preserve">then </w:t>
      </w:r>
      <w:r w:rsidR="000A67D2">
        <w:t>de</w:t>
      </w:r>
      <w:r w:rsidR="00FA1B9F">
        <w:t xml:space="preserve">cide whether the law allows the </w:t>
      </w:r>
      <w:r w:rsidR="000A67D2">
        <w:t>defendant to make the statement].</w:t>
      </w:r>
    </w:p>
    <w:p w:rsidR="00233AC8" w:rsidRDefault="00233AC8">
      <w:pPr>
        <w:pStyle w:val="BodyTextIndent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</w:tabs>
        <w:ind w:left="0" w:firstLine="0"/>
      </w:pPr>
    </w:p>
    <w:p w:rsidR="00233AC8" w:rsidRPr="009169DB" w:rsidRDefault="00233AC8" w:rsidP="003E4656">
      <w:pPr>
        <w:pStyle w:val="BodyTextIndent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</w:tabs>
        <w:spacing w:line="240" w:lineRule="auto"/>
        <w:ind w:left="0" w:firstLine="0"/>
        <w:jc w:val="center"/>
        <w:rPr>
          <w:u w:val="single"/>
        </w:rPr>
      </w:pPr>
      <w:r w:rsidRPr="009169DB">
        <w:rPr>
          <w:u w:val="single"/>
        </w:rPr>
        <w:t>Use Note</w:t>
      </w:r>
    </w:p>
    <w:p w:rsidR="00233AC8" w:rsidRDefault="00233AC8" w:rsidP="00233AC8">
      <w:pPr>
        <w:pStyle w:val="BodyTextIndent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</w:tabs>
        <w:ind w:left="0" w:firstLine="0"/>
        <w:jc w:val="center"/>
      </w:pPr>
    </w:p>
    <w:p w:rsidR="0047402A" w:rsidRDefault="00233AC8" w:rsidP="003E4656">
      <w:pPr>
        <w:pStyle w:val="BodyTextIndent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</w:tabs>
        <w:spacing w:line="240" w:lineRule="auto"/>
        <w:ind w:left="0" w:firstLine="0"/>
      </w:pPr>
      <w:r>
        <w:t>This instr</w:t>
      </w:r>
      <w:r w:rsidR="003E4656">
        <w:t>uction should only be used when</w:t>
      </w:r>
      <w:r>
        <w:t xml:space="preserve"> </w:t>
      </w:r>
      <w:r w:rsidR="006042B9">
        <w:t xml:space="preserve">1) </w:t>
      </w:r>
      <w:r>
        <w:t xml:space="preserve">the </w:t>
      </w:r>
      <w:r w:rsidR="005B49F5">
        <w:t>court determines that a statement allegedly made by the defendant falls within a category recognized as defamatory per se</w:t>
      </w:r>
      <w:r w:rsidR="006042B9">
        <w:t xml:space="preserve">; and 2) </w:t>
      </w:r>
      <w:r w:rsidR="00BC6FC4">
        <w:t>the case does not involve a public figure or a matter of public concern</w:t>
      </w:r>
      <w:r>
        <w:t xml:space="preserve">.  </w:t>
      </w:r>
    </w:p>
    <w:p w:rsidR="0047402A" w:rsidRDefault="0047402A" w:rsidP="003E4656">
      <w:pPr>
        <w:pStyle w:val="BodyTextIndent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</w:tabs>
        <w:spacing w:line="240" w:lineRule="auto"/>
        <w:ind w:left="0" w:firstLine="0"/>
      </w:pPr>
    </w:p>
    <w:p w:rsidR="00D06D97" w:rsidRDefault="00233AC8" w:rsidP="003E4656">
      <w:pPr>
        <w:pStyle w:val="BodyTextIndent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</w:tabs>
        <w:spacing w:line="240" w:lineRule="auto"/>
        <w:ind w:left="0" w:firstLine="0"/>
      </w:pPr>
      <w:r>
        <w:t>If the defendant claims that the statement was privileged, the second bracketed phrase in the last paragraph should be used</w:t>
      </w:r>
      <w:r w:rsidR="00124774">
        <w:t xml:space="preserve"> and </w:t>
      </w:r>
      <w:r w:rsidR="00825925">
        <w:t>Instruction 16.10 (Privileges and Abuse of Privilege) should be given</w:t>
      </w:r>
      <w:r>
        <w:t xml:space="preserve">. </w:t>
      </w:r>
      <w:r w:rsidR="009C1F14">
        <w:t xml:space="preserve"> </w:t>
      </w:r>
    </w:p>
    <w:p w:rsidR="006C6CDA" w:rsidRDefault="006C6CDA" w:rsidP="003E4656">
      <w:pPr>
        <w:pStyle w:val="BodyTextIndent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</w:tabs>
        <w:spacing w:line="240" w:lineRule="auto"/>
        <w:ind w:left="0" w:firstLine="0"/>
      </w:pPr>
    </w:p>
    <w:p w:rsidR="00233AC8" w:rsidRDefault="00EF6D19" w:rsidP="003E4656">
      <w:pPr>
        <w:pStyle w:val="BodyTextIndent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</w:tabs>
        <w:spacing w:line="240" w:lineRule="auto"/>
        <w:ind w:left="0" w:firstLine="0"/>
      </w:pPr>
      <w:r>
        <w:t>In a case where there it is undisputed that the defendant made the statement and the content of the statement is not in dispute,</w:t>
      </w:r>
      <w:r w:rsidR="00D06D97">
        <w:t xml:space="preserve"> Element 1 can be eliminated.  In a case where </w:t>
      </w:r>
      <w:r>
        <w:t xml:space="preserve">it is undisputed that the defendant published </w:t>
      </w:r>
      <w:r w:rsidR="00D06D97">
        <w:t xml:space="preserve">the statement to one or more persons other than the plaintiff, Element 2 can be eliminated.  </w:t>
      </w:r>
    </w:p>
    <w:p w:rsidR="006568D0" w:rsidRDefault="006568D0" w:rsidP="003E4656">
      <w:pPr>
        <w:pStyle w:val="BodyTextIndent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</w:tabs>
        <w:spacing w:line="240" w:lineRule="auto"/>
        <w:ind w:left="0" w:firstLine="0"/>
      </w:pPr>
    </w:p>
    <w:p w:rsidR="00233AC8" w:rsidRDefault="00233AC8" w:rsidP="003E4656">
      <w:pPr>
        <w:pStyle w:val="BodyTextIndent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</w:tabs>
        <w:spacing w:line="240" w:lineRule="auto"/>
        <w:ind w:left="0" w:firstLine="0"/>
      </w:pPr>
      <w:r>
        <w:t xml:space="preserve">If </w:t>
      </w:r>
      <w:r w:rsidR="00FA625D">
        <w:t xml:space="preserve">the </w:t>
      </w:r>
      <w:r>
        <w:t xml:space="preserve">plaintiff alleges </w:t>
      </w:r>
      <w:r w:rsidR="00006998">
        <w:t xml:space="preserve">both </w:t>
      </w:r>
      <w:r>
        <w:t>defamation per quod</w:t>
      </w:r>
      <w:r w:rsidR="00006998">
        <w:t xml:space="preserve"> and defamation per se</w:t>
      </w:r>
      <w:r w:rsidR="00CA1BBE">
        <w:t xml:space="preserve">, Instruction 16.03 </w:t>
      </w:r>
      <w:r>
        <w:t>should also be given.</w:t>
      </w:r>
      <w:r w:rsidR="00006998">
        <w:t xml:space="preserve"> The liability instructions on defamation per se should be followed by the damages instruction specific to</w:t>
      </w:r>
      <w:r w:rsidR="00CA1BBE">
        <w:t xml:space="preserve"> this claim. See Instruction 16.07</w:t>
      </w:r>
      <w:r w:rsidR="00006998">
        <w:t xml:space="preserve"> (Defamation – Damages).</w:t>
      </w:r>
    </w:p>
    <w:p w:rsidR="003E4656" w:rsidRDefault="003E4656" w:rsidP="003E4656">
      <w:pPr>
        <w:pStyle w:val="BodyTextIndent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</w:tabs>
        <w:spacing w:line="240" w:lineRule="auto"/>
        <w:ind w:left="0" w:firstLine="0"/>
      </w:pPr>
    </w:p>
    <w:p w:rsidR="003E4656" w:rsidRPr="009169DB" w:rsidRDefault="003E4656" w:rsidP="003E4656">
      <w:pPr>
        <w:pStyle w:val="BodyTextIndent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</w:tabs>
        <w:spacing w:line="240" w:lineRule="auto"/>
        <w:ind w:left="0" w:firstLine="0"/>
        <w:jc w:val="center"/>
        <w:rPr>
          <w:u w:val="single"/>
        </w:rPr>
      </w:pPr>
      <w:r w:rsidRPr="009169DB">
        <w:rPr>
          <w:u w:val="single"/>
        </w:rPr>
        <w:t>Comment</w:t>
      </w:r>
    </w:p>
    <w:p w:rsidR="003E4656" w:rsidRDefault="003E4656" w:rsidP="003E4656">
      <w:pPr>
        <w:pStyle w:val="BodyTextIndent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</w:tabs>
        <w:spacing w:line="240" w:lineRule="auto"/>
        <w:ind w:left="0" w:firstLine="0"/>
      </w:pPr>
    </w:p>
    <w:p w:rsidR="00776C25" w:rsidRDefault="00776C25" w:rsidP="003E4656">
      <w:pPr>
        <w:pStyle w:val="BodyTextIndent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</w:tabs>
        <w:spacing w:line="240" w:lineRule="auto"/>
        <w:ind w:left="0" w:firstLine="0"/>
      </w:pPr>
      <w:r>
        <w:t xml:space="preserve">This instruction is intended for use in cases where the law allows the plaintiff to recover for </w:t>
      </w:r>
      <w:r w:rsidR="008624FA">
        <w:t>defamation</w:t>
      </w:r>
      <w:r>
        <w:t xml:space="preserve"> without proving damages.  Alaska law allows such recovery </w:t>
      </w:r>
      <w:r w:rsidR="002E5509">
        <w:t>under some circumstances</w:t>
      </w:r>
      <w:r>
        <w:t>.</w:t>
      </w:r>
    </w:p>
    <w:p w:rsidR="00776C25" w:rsidRDefault="00776C25" w:rsidP="003E4656">
      <w:pPr>
        <w:pStyle w:val="BodyTextIndent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</w:tabs>
        <w:spacing w:line="240" w:lineRule="auto"/>
        <w:ind w:left="0" w:firstLine="0"/>
      </w:pPr>
    </w:p>
    <w:p w:rsidR="005E6D9E" w:rsidRDefault="00707936" w:rsidP="003E4656">
      <w:pPr>
        <w:pStyle w:val="BodyTextIndent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</w:tabs>
        <w:spacing w:line="240" w:lineRule="auto"/>
        <w:ind w:left="0" w:firstLine="0"/>
      </w:pPr>
      <w:r>
        <w:t>With respect to requiring proof of damages, t</w:t>
      </w:r>
      <w:r w:rsidR="00C11A93">
        <w:t xml:space="preserve">he common law </w:t>
      </w:r>
      <w:r w:rsidR="00776C25">
        <w:t>distinguished b</w:t>
      </w:r>
      <w:r w:rsidR="00C11A93">
        <w:t xml:space="preserve">etween </w:t>
      </w:r>
      <w:r w:rsidR="00D57A01">
        <w:t xml:space="preserve"> oral</w:t>
      </w:r>
      <w:r w:rsidR="00C11A93">
        <w:t xml:space="preserve"> statements</w:t>
      </w:r>
      <w:r w:rsidR="00885ECC">
        <w:t xml:space="preserve"> (slander)</w:t>
      </w:r>
      <w:r w:rsidR="00C11A93">
        <w:t xml:space="preserve"> and written statements</w:t>
      </w:r>
      <w:r w:rsidR="00885ECC">
        <w:t xml:space="preserve"> (libel</w:t>
      </w:r>
      <w:r w:rsidR="00FA50D0">
        <w:t>)</w:t>
      </w:r>
      <w:r w:rsidR="00C11A93">
        <w:t>.</w:t>
      </w:r>
      <w:r>
        <w:t xml:space="preserve">  </w:t>
      </w:r>
    </w:p>
    <w:p w:rsidR="005E6D9E" w:rsidRDefault="005E6D9E" w:rsidP="003E4656">
      <w:pPr>
        <w:pStyle w:val="BodyTextIndent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</w:tabs>
        <w:spacing w:line="240" w:lineRule="auto"/>
        <w:ind w:left="0" w:firstLine="0"/>
      </w:pPr>
    </w:p>
    <w:p w:rsidR="0053276C" w:rsidRDefault="003741DB" w:rsidP="003E4656">
      <w:pPr>
        <w:pStyle w:val="BodyTextIndent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</w:tabs>
        <w:spacing w:line="240" w:lineRule="auto"/>
        <w:ind w:left="0" w:firstLine="0"/>
      </w:pPr>
      <w:r w:rsidRPr="003741DB">
        <w:rPr>
          <w:b/>
        </w:rPr>
        <w:t>Slander</w:t>
      </w:r>
      <w:r w:rsidR="006568D0">
        <w:t xml:space="preserve">. </w:t>
      </w:r>
      <w:r w:rsidR="00707936">
        <w:t>T</w:t>
      </w:r>
      <w:r w:rsidR="006215EA">
        <w:t xml:space="preserve">he common law recognized four categories of </w:t>
      </w:r>
      <w:r w:rsidR="005E6D9E">
        <w:t xml:space="preserve">slander </w:t>
      </w:r>
      <w:r w:rsidR="00C24D84">
        <w:t xml:space="preserve">for which the plaintiff was not required to prove damages.  These categories are designated as “slander </w:t>
      </w:r>
      <w:r w:rsidR="006215EA">
        <w:t>per se</w:t>
      </w:r>
      <w:r w:rsidR="00FB1B03">
        <w:t>.</w:t>
      </w:r>
      <w:r w:rsidR="00C24D84">
        <w:t>”</w:t>
      </w:r>
      <w:r w:rsidR="00FB1B03">
        <w:t xml:space="preserve">  </w:t>
      </w:r>
      <w:r w:rsidR="0053276C">
        <w:t>For</w:t>
      </w:r>
      <w:r w:rsidR="00C24D84">
        <w:t xml:space="preserve"> all other </w:t>
      </w:r>
      <w:r w:rsidR="0053276C">
        <w:t xml:space="preserve">slander claims, </w:t>
      </w:r>
      <w:r w:rsidR="00C24D84">
        <w:t xml:space="preserve">the plaintiff </w:t>
      </w:r>
      <w:r w:rsidR="00C24D84">
        <w:lastRenderedPageBreak/>
        <w:t>was req</w:t>
      </w:r>
      <w:r w:rsidR="0053276C">
        <w:t xml:space="preserve">uired to prove </w:t>
      </w:r>
      <w:r w:rsidR="005404E0">
        <w:t>special</w:t>
      </w:r>
      <w:r w:rsidR="0053276C">
        <w:t xml:space="preserve"> damages.  These </w:t>
      </w:r>
      <w:r w:rsidR="006042B9">
        <w:t>slander claims a</w:t>
      </w:r>
      <w:r w:rsidR="0053276C">
        <w:t xml:space="preserve">re designated as “slander per quod.”  </w:t>
      </w:r>
    </w:p>
    <w:p w:rsidR="0053276C" w:rsidRDefault="0053276C" w:rsidP="003E4656">
      <w:pPr>
        <w:pStyle w:val="BodyTextIndent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</w:tabs>
        <w:spacing w:line="240" w:lineRule="auto"/>
        <w:ind w:left="0" w:firstLine="0"/>
      </w:pPr>
    </w:p>
    <w:p w:rsidR="003E4656" w:rsidRPr="006215EA" w:rsidRDefault="00FB1B03" w:rsidP="003E4656">
      <w:pPr>
        <w:pStyle w:val="BodyTextIndent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</w:tabs>
        <w:spacing w:line="240" w:lineRule="auto"/>
        <w:ind w:left="0" w:firstLine="0"/>
      </w:pPr>
      <w:r>
        <w:t xml:space="preserve">The four </w:t>
      </w:r>
      <w:r w:rsidR="00DD28B4">
        <w:t xml:space="preserve">traditional </w:t>
      </w:r>
      <w:r>
        <w:t xml:space="preserve">categories of slander per se are </w:t>
      </w:r>
      <w:r w:rsidR="006215EA">
        <w:t xml:space="preserve">statements involving crime, a loathsome disease, </w:t>
      </w:r>
      <w:r w:rsidR="00FA625D">
        <w:t xml:space="preserve">or </w:t>
      </w:r>
      <w:r w:rsidR="006215EA">
        <w:t xml:space="preserve">sexual misconduct, and statements injurious to a plaintiff’s trade or business. </w:t>
      </w:r>
      <w:r w:rsidR="005E6D9E">
        <w:t xml:space="preserve"> </w:t>
      </w:r>
      <w:r w:rsidR="00FE68C7">
        <w:t xml:space="preserve">Restatement (Second) of Torts §§ 570-74. </w:t>
      </w:r>
      <w:r w:rsidR="005E6D9E">
        <w:t xml:space="preserve"> </w:t>
      </w:r>
      <w:r w:rsidR="004C58E2">
        <w:t xml:space="preserve">Alaska </w:t>
      </w:r>
      <w:r w:rsidR="00DD28B4">
        <w:t xml:space="preserve">decisions </w:t>
      </w:r>
      <w:r w:rsidR="00006998">
        <w:t xml:space="preserve">have addressed </w:t>
      </w:r>
      <w:r w:rsidR="004C58E2">
        <w:t>th</w:t>
      </w:r>
      <w:r w:rsidR="00DD28B4">
        <w:t>ree</w:t>
      </w:r>
      <w:r w:rsidR="004C58E2">
        <w:t xml:space="preserve"> </w:t>
      </w:r>
      <w:r w:rsidR="00DD28B4">
        <w:t>of the</w:t>
      </w:r>
      <w:r w:rsidR="004C58E2">
        <w:t xml:space="preserve"> </w:t>
      </w:r>
      <w:r w:rsidR="00006998">
        <w:t xml:space="preserve">four </w:t>
      </w:r>
      <w:r w:rsidR="004C58E2">
        <w:t xml:space="preserve">categories.  </w:t>
      </w:r>
      <w:r w:rsidR="00C606F3">
        <w:rPr>
          <w:i/>
        </w:rPr>
        <w:t xml:space="preserve">See </w:t>
      </w:r>
      <w:r w:rsidR="005E6D9E" w:rsidRPr="00885ECC">
        <w:rPr>
          <w:i/>
        </w:rPr>
        <w:t>MacDonald</w:t>
      </w:r>
      <w:r w:rsidR="005E6D9E">
        <w:t xml:space="preserve"> </w:t>
      </w:r>
      <w:r w:rsidR="00790EFB">
        <w:rPr>
          <w:i/>
        </w:rPr>
        <w:t>v. Riggs</w:t>
      </w:r>
      <w:r w:rsidR="00790EFB">
        <w:t xml:space="preserve">, 166 P.3d 12, 18 (Alaska 2007) </w:t>
      </w:r>
      <w:r w:rsidR="005E6D9E">
        <w:t xml:space="preserve">(criminal conduct); </w:t>
      </w:r>
      <w:r w:rsidR="006215EA">
        <w:rPr>
          <w:i/>
        </w:rPr>
        <w:t>French v. Jadon, Inc.</w:t>
      </w:r>
      <w:r w:rsidR="006215EA">
        <w:t xml:space="preserve">, 911 P.2d 20, 33-34 (Alaska 1996) (criminal conduct); </w:t>
      </w:r>
      <w:r w:rsidR="006215EA">
        <w:rPr>
          <w:i/>
        </w:rPr>
        <w:t>City of Fairbanks v. Rice</w:t>
      </w:r>
      <w:r w:rsidR="006215EA">
        <w:t xml:space="preserve">, 20 P.3d 1097 (Alaska 2000) (sexual misconduct); </w:t>
      </w:r>
      <w:r w:rsidR="006215EA">
        <w:rPr>
          <w:i/>
        </w:rPr>
        <w:t>Alaska Statebank v. Fairco</w:t>
      </w:r>
      <w:r w:rsidR="006215EA">
        <w:t>, 674 P.2d 288, 295 (Alaska 1983) (injury to trade or business).</w:t>
      </w:r>
      <w:r w:rsidR="00FD74B7">
        <w:t xml:space="preserve">  </w:t>
      </w:r>
      <w:r w:rsidR="00885ECC">
        <w:t>P</w:t>
      </w:r>
      <w:r w:rsidR="00FD74B7">
        <w:t xml:space="preserve">roof of damages is </w:t>
      </w:r>
      <w:r w:rsidR="00885ECC">
        <w:t xml:space="preserve">not </w:t>
      </w:r>
      <w:r w:rsidR="00FD74B7">
        <w:t xml:space="preserve">required if the </w:t>
      </w:r>
      <w:r w:rsidR="003035B0">
        <w:t xml:space="preserve">defendant’s </w:t>
      </w:r>
      <w:r w:rsidR="00FD74B7">
        <w:t xml:space="preserve">statement </w:t>
      </w:r>
      <w:r w:rsidR="002E5509">
        <w:t>constitutes slander per se</w:t>
      </w:r>
      <w:r w:rsidR="008624FA">
        <w:t>.</w:t>
      </w:r>
      <w:r w:rsidR="00FD74B7">
        <w:t xml:space="preserve">  </w:t>
      </w:r>
      <w:r w:rsidR="00FD74B7" w:rsidRPr="00176C94">
        <w:rPr>
          <w:i/>
        </w:rPr>
        <w:t>MacDonald</w:t>
      </w:r>
      <w:r w:rsidR="00AB21EA">
        <w:t xml:space="preserve">, </w:t>
      </w:r>
      <w:r w:rsidR="00FE68C7">
        <w:t>166 P.3d at 18-19</w:t>
      </w:r>
      <w:r w:rsidR="00FD74B7">
        <w:t>.</w:t>
      </w:r>
      <w:r>
        <w:t xml:space="preserve">  </w:t>
      </w:r>
    </w:p>
    <w:p w:rsidR="006215EA" w:rsidRDefault="006215EA" w:rsidP="003E4656">
      <w:pPr>
        <w:pStyle w:val="BodyTextIndent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</w:tabs>
        <w:spacing w:line="240" w:lineRule="auto"/>
        <w:ind w:left="0" w:firstLine="0"/>
      </w:pPr>
    </w:p>
    <w:p w:rsidR="005E6D9E" w:rsidRDefault="006042B9" w:rsidP="003E4656">
      <w:pPr>
        <w:pStyle w:val="BodyTextIndent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</w:tabs>
        <w:spacing w:line="240" w:lineRule="auto"/>
        <w:ind w:left="0" w:firstLine="0"/>
      </w:pPr>
      <w:r>
        <w:rPr>
          <w:b/>
        </w:rPr>
        <w:t xml:space="preserve">Libel.  </w:t>
      </w:r>
      <w:r w:rsidR="005E6D9E">
        <w:t xml:space="preserve">At common law, </w:t>
      </w:r>
      <w:r>
        <w:t>a</w:t>
      </w:r>
      <w:r w:rsidR="005E6D9E">
        <w:t xml:space="preserve">ll defamatory statements </w:t>
      </w:r>
      <w:r w:rsidR="003B4794">
        <w:t xml:space="preserve">made in writing </w:t>
      </w:r>
      <w:r w:rsidR="005E6D9E">
        <w:t xml:space="preserve">were </w:t>
      </w:r>
      <w:r w:rsidR="000C7612">
        <w:t>actionable without proof of</w:t>
      </w:r>
      <w:r w:rsidR="00744A11">
        <w:t xml:space="preserve"> damages</w:t>
      </w:r>
      <w:r w:rsidR="003B4794">
        <w:t xml:space="preserve">.  </w:t>
      </w:r>
      <w:r w:rsidR="003B4794" w:rsidRPr="00C606F3">
        <w:rPr>
          <w:i/>
        </w:rPr>
        <w:t>See</w:t>
      </w:r>
      <w:r w:rsidR="003B4794">
        <w:t xml:space="preserve"> </w:t>
      </w:r>
      <w:r w:rsidR="00FE68C7">
        <w:t xml:space="preserve">Restatement </w:t>
      </w:r>
      <w:r w:rsidR="003B4794">
        <w:t>§ 569</w:t>
      </w:r>
      <w:r w:rsidR="00FB1B03">
        <w:t xml:space="preserve">; </w:t>
      </w:r>
      <w:r w:rsidR="00B677EE">
        <w:t xml:space="preserve">D. </w:t>
      </w:r>
      <w:r w:rsidR="00FB1B03">
        <w:t>Dobbs, Law of Torts § 409 (</w:t>
      </w:r>
      <w:r w:rsidR="00432EBF">
        <w:t>2000)</w:t>
      </w:r>
      <w:r w:rsidR="003B4794">
        <w:t xml:space="preserve">. </w:t>
      </w:r>
      <w:r w:rsidR="000C7612">
        <w:t xml:space="preserve"> </w:t>
      </w:r>
      <w:r w:rsidR="00432EBF">
        <w:t>Some courts have departed from the common law</w:t>
      </w:r>
      <w:r>
        <w:t xml:space="preserve"> and require proof of damages for libel, at least in some instances</w:t>
      </w:r>
      <w:r w:rsidR="0053276C">
        <w:t>.</w:t>
      </w:r>
      <w:r w:rsidR="00432EBF">
        <w:t xml:space="preserve">  </w:t>
      </w:r>
      <w:r w:rsidR="00E434A0">
        <w:t>Under one approach, a</w:t>
      </w:r>
      <w:r w:rsidR="002E5509">
        <w:t xml:space="preserve"> written statement </w:t>
      </w:r>
      <w:r w:rsidR="003741DB">
        <w:t>is deemed “</w:t>
      </w:r>
      <w:r w:rsidR="002E5509">
        <w:t>libel per se</w:t>
      </w:r>
      <w:r w:rsidR="003741DB">
        <w:t>”</w:t>
      </w:r>
      <w:r w:rsidR="002E5509">
        <w:t xml:space="preserve"> if</w:t>
      </w:r>
      <w:r w:rsidR="00432EBF">
        <w:t xml:space="preserve"> the statement is defamatory on its face</w:t>
      </w:r>
      <w:r w:rsidR="00C70EC1">
        <w:t xml:space="preserve">.  In that event, the plaintiff may recover </w:t>
      </w:r>
      <w:r w:rsidR="00DD28B4">
        <w:t xml:space="preserve">for libel </w:t>
      </w:r>
      <w:r w:rsidR="00C70EC1">
        <w:t>without proving damage</w:t>
      </w:r>
      <w:r w:rsidR="005404E0">
        <w:t>s</w:t>
      </w:r>
      <w:r w:rsidR="000C7612">
        <w:t xml:space="preserve">.  If the statement is not defamatory on its face, </w:t>
      </w:r>
      <w:r w:rsidR="005422A4">
        <w:t xml:space="preserve">the statement is </w:t>
      </w:r>
      <w:r w:rsidR="003741DB">
        <w:t>“</w:t>
      </w:r>
      <w:r w:rsidR="005422A4">
        <w:t>libel per quod</w:t>
      </w:r>
      <w:r w:rsidR="003741DB">
        <w:t>”</w:t>
      </w:r>
      <w:r w:rsidR="005422A4">
        <w:t xml:space="preserve"> and plaintiff </w:t>
      </w:r>
      <w:r w:rsidR="00DD28B4">
        <w:t xml:space="preserve">is required to </w:t>
      </w:r>
      <w:r w:rsidR="005422A4">
        <w:t xml:space="preserve">prove </w:t>
      </w:r>
      <w:r w:rsidR="005404E0">
        <w:t>special</w:t>
      </w:r>
      <w:r w:rsidR="005422A4">
        <w:t xml:space="preserve"> damages.  </w:t>
      </w:r>
      <w:r w:rsidR="00AC761A">
        <w:t>Restatement § 569, comment b; Dobbs § 409.</w:t>
      </w:r>
      <w:r w:rsidR="00432EBF">
        <w:t xml:space="preserve"> </w:t>
      </w:r>
      <w:r w:rsidR="00AC761A">
        <w:t xml:space="preserve"> Alaska case law is not conclusive, but </w:t>
      </w:r>
      <w:r w:rsidR="00E434A0">
        <w:t xml:space="preserve">it </w:t>
      </w:r>
      <w:r w:rsidR="00AC761A">
        <w:t xml:space="preserve">may support this </w:t>
      </w:r>
      <w:r w:rsidR="0053276C">
        <w:t>approach</w:t>
      </w:r>
      <w:r w:rsidR="00326CE8">
        <w:t xml:space="preserve"> in libel cases</w:t>
      </w:r>
      <w:r w:rsidR="00AC761A">
        <w:t xml:space="preserve">.  </w:t>
      </w:r>
      <w:r w:rsidR="00B531F8">
        <w:t xml:space="preserve">In </w:t>
      </w:r>
      <w:r w:rsidR="005422A4" w:rsidRPr="00176C94">
        <w:rPr>
          <w:i/>
        </w:rPr>
        <w:t xml:space="preserve">Fairbanks Publishing </w:t>
      </w:r>
      <w:r w:rsidR="00B677EE">
        <w:rPr>
          <w:i/>
        </w:rPr>
        <w:t xml:space="preserve">Co. </w:t>
      </w:r>
      <w:r w:rsidR="005422A4" w:rsidRPr="00176C94">
        <w:rPr>
          <w:i/>
        </w:rPr>
        <w:t>v. Pitka</w:t>
      </w:r>
      <w:r w:rsidR="005422A4">
        <w:t xml:space="preserve">, 376 P.2d 190 (Alaska 1962), the court </w:t>
      </w:r>
      <w:r w:rsidR="00C70EC1">
        <w:t>considered whether the trial court erred by instructing the jury that newspaper headlines were defamatory as a matter of law.  The court found no error</w:t>
      </w:r>
      <w:r w:rsidR="004D3038">
        <w:t xml:space="preserve"> in this instruction</w:t>
      </w:r>
      <w:r w:rsidR="00D06D97">
        <w:t>.</w:t>
      </w:r>
      <w:r w:rsidR="004D3038">
        <w:t xml:space="preserve">  In doing so, the court said that “for a publication to be libelous per se, </w:t>
      </w:r>
      <w:r w:rsidR="005422A4">
        <w:t xml:space="preserve">the words </w:t>
      </w:r>
      <w:r w:rsidR="004D3038">
        <w:t xml:space="preserve">used must be </w:t>
      </w:r>
      <w:r w:rsidR="005422A4">
        <w:t xml:space="preserve">so unambiguous as to be reasonably susceptible of only one interpretation—that is, one which has a natural tendency to injure another’s reputation. . .” </w:t>
      </w:r>
      <w:r w:rsidR="00C70EC1">
        <w:t xml:space="preserve"> </w:t>
      </w:r>
      <w:r w:rsidR="004D3038">
        <w:rPr>
          <w:i/>
        </w:rPr>
        <w:t>Id.</w:t>
      </w:r>
      <w:r w:rsidR="004D3038">
        <w:t xml:space="preserve"> at 194.  </w:t>
      </w:r>
      <w:r w:rsidR="00C70EC1">
        <w:t xml:space="preserve">Although </w:t>
      </w:r>
      <w:r w:rsidR="00457A78" w:rsidRPr="00457A78">
        <w:rPr>
          <w:i/>
        </w:rPr>
        <w:t>Fairbanks Publishing</w:t>
      </w:r>
      <w:r w:rsidR="00457A78">
        <w:t xml:space="preserve"> </w:t>
      </w:r>
      <w:r w:rsidR="00C70EC1">
        <w:t xml:space="preserve"> define</w:t>
      </w:r>
      <w:r w:rsidR="00AC761A">
        <w:t>d</w:t>
      </w:r>
      <w:r w:rsidR="00C70EC1">
        <w:t xml:space="preserve"> the term “libel per se”, </w:t>
      </w:r>
      <w:r w:rsidR="003741DB">
        <w:t xml:space="preserve">the decision </w:t>
      </w:r>
      <w:r w:rsidR="00C70EC1">
        <w:t>d</w:t>
      </w:r>
      <w:r w:rsidR="00AC761A">
        <w:t>id</w:t>
      </w:r>
      <w:r w:rsidR="00C70EC1">
        <w:t xml:space="preserve"> not discuss </w:t>
      </w:r>
      <w:r w:rsidR="005670C7">
        <w:t xml:space="preserve">whether </w:t>
      </w:r>
      <w:r w:rsidR="002A64AB">
        <w:t xml:space="preserve">characterizing a </w:t>
      </w:r>
      <w:r w:rsidR="00457A78">
        <w:t>written statement</w:t>
      </w:r>
      <w:r w:rsidR="002A64AB">
        <w:t xml:space="preserve"> as </w:t>
      </w:r>
      <w:r w:rsidR="00B31726">
        <w:t>“</w:t>
      </w:r>
      <w:r w:rsidR="002A64AB">
        <w:t>libel</w:t>
      </w:r>
      <w:r w:rsidR="00D06D97">
        <w:t>ous</w:t>
      </w:r>
      <w:r w:rsidR="002A64AB">
        <w:t xml:space="preserve"> per se</w:t>
      </w:r>
      <w:r w:rsidR="00B31726">
        <w:t>”</w:t>
      </w:r>
      <w:r w:rsidR="002A64AB">
        <w:t xml:space="preserve"> </w:t>
      </w:r>
      <w:r w:rsidR="00D06D97">
        <w:t xml:space="preserve">under this definition </w:t>
      </w:r>
      <w:r w:rsidR="002A64AB">
        <w:t>mean</w:t>
      </w:r>
      <w:r w:rsidR="00D06D97">
        <w:t>t</w:t>
      </w:r>
      <w:r w:rsidR="002A64AB">
        <w:t xml:space="preserve"> that </w:t>
      </w:r>
      <w:r w:rsidR="005670C7">
        <w:t xml:space="preserve">the plaintiff </w:t>
      </w:r>
      <w:r w:rsidR="00D06D97">
        <w:t>was</w:t>
      </w:r>
      <w:r w:rsidR="005670C7">
        <w:t xml:space="preserve"> </w:t>
      </w:r>
      <w:r w:rsidR="002A64AB">
        <w:t xml:space="preserve">not </w:t>
      </w:r>
      <w:r w:rsidR="005670C7">
        <w:t xml:space="preserve">required to prove </w:t>
      </w:r>
      <w:r w:rsidR="00D06D97">
        <w:t>damages</w:t>
      </w:r>
      <w:r w:rsidR="002A64AB">
        <w:t>.</w:t>
      </w:r>
      <w:r w:rsidR="004D3038">
        <w:t xml:space="preserve">  </w:t>
      </w:r>
      <w:r w:rsidR="00A46E7F">
        <w:t>S</w:t>
      </w:r>
      <w:r w:rsidR="003C558F">
        <w:t>ubseq</w:t>
      </w:r>
      <w:r w:rsidR="00B531F8">
        <w:t>u</w:t>
      </w:r>
      <w:r w:rsidR="003C558F">
        <w:t xml:space="preserve">ent </w:t>
      </w:r>
      <w:r w:rsidR="00AB321F">
        <w:t xml:space="preserve">Alaska </w:t>
      </w:r>
      <w:r w:rsidR="003C558F">
        <w:t>case</w:t>
      </w:r>
      <w:r w:rsidR="00A46E7F">
        <w:t>s</w:t>
      </w:r>
      <w:r w:rsidR="003C558F">
        <w:t xml:space="preserve"> </w:t>
      </w:r>
      <w:r w:rsidR="00B31726">
        <w:t xml:space="preserve">have </w:t>
      </w:r>
      <w:r w:rsidR="00A46E7F">
        <w:t>repeated</w:t>
      </w:r>
      <w:r w:rsidR="00132431">
        <w:t xml:space="preserve"> </w:t>
      </w:r>
      <w:r w:rsidR="00AB321F" w:rsidRPr="00176C94">
        <w:rPr>
          <w:i/>
        </w:rPr>
        <w:t>Fairbanks Publishing</w:t>
      </w:r>
      <w:r w:rsidR="00AB321F" w:rsidRPr="00176C94">
        <w:t xml:space="preserve">’s </w:t>
      </w:r>
      <w:r w:rsidR="00AB321F">
        <w:t xml:space="preserve">definition of </w:t>
      </w:r>
      <w:r w:rsidR="009C1F14">
        <w:t>“</w:t>
      </w:r>
      <w:r w:rsidR="00AB321F">
        <w:t>libel</w:t>
      </w:r>
      <w:r w:rsidR="00132431">
        <w:t xml:space="preserve"> per se</w:t>
      </w:r>
      <w:r w:rsidR="009C1F14">
        <w:t>”</w:t>
      </w:r>
      <w:r w:rsidR="003C558F">
        <w:t>, but the</w:t>
      </w:r>
      <w:r w:rsidR="00A46E7F">
        <w:t xml:space="preserve">se cases </w:t>
      </w:r>
      <w:r w:rsidR="00AB321F">
        <w:t xml:space="preserve">did not </w:t>
      </w:r>
      <w:r w:rsidR="007F4370">
        <w:t xml:space="preserve">directly address whether </w:t>
      </w:r>
      <w:r w:rsidR="00D9282B">
        <w:t xml:space="preserve">or when </w:t>
      </w:r>
      <w:r w:rsidR="007F4370">
        <w:t xml:space="preserve">a </w:t>
      </w:r>
      <w:r w:rsidR="00E434A0">
        <w:t xml:space="preserve">plaintiff </w:t>
      </w:r>
      <w:r w:rsidR="00D9282B">
        <w:t xml:space="preserve">in </w:t>
      </w:r>
      <w:r w:rsidR="00D57A01">
        <w:t xml:space="preserve">a </w:t>
      </w:r>
      <w:r w:rsidR="00D9282B">
        <w:t xml:space="preserve">libel action must </w:t>
      </w:r>
      <w:r w:rsidR="00D10031">
        <w:t>prov</w:t>
      </w:r>
      <w:r w:rsidR="00E434A0">
        <w:t>e</w:t>
      </w:r>
      <w:r w:rsidR="00D10031">
        <w:t xml:space="preserve"> damages</w:t>
      </w:r>
      <w:r w:rsidR="00FC0270">
        <w:t xml:space="preserve">. </w:t>
      </w:r>
      <w:r w:rsidR="00AB321F">
        <w:t xml:space="preserve"> </w:t>
      </w:r>
      <w:r w:rsidR="00132431" w:rsidRPr="003E0785">
        <w:rPr>
          <w:i/>
        </w:rPr>
        <w:t>See A</w:t>
      </w:r>
      <w:r w:rsidR="00AB21EA" w:rsidRPr="003E0785">
        <w:rPr>
          <w:i/>
        </w:rPr>
        <w:t>laska Statebank</w:t>
      </w:r>
      <w:r w:rsidR="00132431">
        <w:t xml:space="preserve">, </w:t>
      </w:r>
      <w:r w:rsidR="00AB21EA">
        <w:t xml:space="preserve">674 P.2d at </w:t>
      </w:r>
      <w:r w:rsidR="006A1471">
        <w:t>295</w:t>
      </w:r>
      <w:r w:rsidR="00C11A93">
        <w:t xml:space="preserve"> </w:t>
      </w:r>
      <w:r w:rsidR="00130585">
        <w:t xml:space="preserve">n. 15 </w:t>
      </w:r>
      <w:r w:rsidR="00FC0270">
        <w:t>(</w:t>
      </w:r>
      <w:r w:rsidR="00130585">
        <w:t xml:space="preserve">referring to </w:t>
      </w:r>
      <w:r w:rsidR="00130585">
        <w:rPr>
          <w:i/>
        </w:rPr>
        <w:t>Fairbanks Publishing</w:t>
      </w:r>
      <w:r w:rsidR="00130585">
        <w:t xml:space="preserve">’s definition of libel per se in support of holding that </w:t>
      </w:r>
      <w:r w:rsidR="00176C94">
        <w:t xml:space="preserve">plaintiff was not required to prove actual damages </w:t>
      </w:r>
      <w:r w:rsidR="00FC0270">
        <w:t xml:space="preserve">in a case </w:t>
      </w:r>
      <w:r w:rsidR="00AC761A">
        <w:t xml:space="preserve">that </w:t>
      </w:r>
      <w:r w:rsidR="00FC0270">
        <w:t>involv</w:t>
      </w:r>
      <w:r w:rsidR="00AC761A">
        <w:t>ed</w:t>
      </w:r>
      <w:r w:rsidR="00FC0270">
        <w:t xml:space="preserve"> defamation by conduct)</w:t>
      </w:r>
      <w:r w:rsidR="006A1471">
        <w:t>;</w:t>
      </w:r>
      <w:r w:rsidR="00FC0270">
        <w:t xml:space="preserve"> </w:t>
      </w:r>
      <w:r w:rsidR="00FC0270" w:rsidRPr="003E0785">
        <w:rPr>
          <w:i/>
        </w:rPr>
        <w:t>Odom v</w:t>
      </w:r>
      <w:r w:rsidR="00AC761A">
        <w:rPr>
          <w:i/>
        </w:rPr>
        <w:t>.</w:t>
      </w:r>
      <w:r w:rsidR="00FC0270" w:rsidRPr="003E0785">
        <w:rPr>
          <w:i/>
        </w:rPr>
        <w:t xml:space="preserve"> </w:t>
      </w:r>
      <w:r w:rsidR="00FC0270" w:rsidRPr="003E0785">
        <w:rPr>
          <w:i/>
        </w:rPr>
        <w:lastRenderedPageBreak/>
        <w:t>Fairbanks Memorial Hospital</w:t>
      </w:r>
      <w:r w:rsidR="00FC0270">
        <w:t xml:space="preserve">, 999 P.2d 123, </w:t>
      </w:r>
      <w:r w:rsidR="00AB21EA">
        <w:t xml:space="preserve">130 (Alaska 2000] (repeating </w:t>
      </w:r>
      <w:r w:rsidR="00AB21EA" w:rsidRPr="003E0785">
        <w:rPr>
          <w:i/>
        </w:rPr>
        <w:t>Fairbanks Publishing</w:t>
      </w:r>
      <w:r w:rsidR="00AB21EA">
        <w:t xml:space="preserve">’s definition of libel per se).  </w:t>
      </w:r>
    </w:p>
    <w:p w:rsidR="006215EA" w:rsidRDefault="006215EA" w:rsidP="003E4656">
      <w:pPr>
        <w:pStyle w:val="BodyTextIndent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</w:tabs>
        <w:spacing w:line="240" w:lineRule="auto"/>
        <w:ind w:left="0" w:firstLine="0"/>
        <w:rPr>
          <w:i/>
        </w:rPr>
      </w:pPr>
    </w:p>
    <w:sectPr w:rsidR="006215EA">
      <w:headerReference w:type="default" r:id="rId8"/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99E" w:rsidRDefault="0048799E">
      <w:r>
        <w:separator/>
      </w:r>
    </w:p>
  </w:endnote>
  <w:endnote w:type="continuationSeparator" w:id="0">
    <w:p w:rsidR="0048799E" w:rsidRDefault="00487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B21" w:rsidRDefault="009169DB" w:rsidP="00FC2B21">
    <w:pPr>
      <w:pStyle w:val="Footer"/>
      <w:tabs>
        <w:tab w:val="clear" w:pos="8640"/>
        <w:tab w:val="right" w:pos="9360"/>
      </w:tabs>
      <w:rPr>
        <w:rFonts w:ascii="Bookman Old Style" w:hAnsi="Bookman Old Style" w:cs="Bookman Old Style"/>
        <w:sz w:val="26"/>
        <w:szCs w:val="26"/>
      </w:rPr>
    </w:pPr>
    <w:r>
      <w:rPr>
        <w:rFonts w:ascii="Bookman Old Style" w:hAnsi="Bookman Old Style" w:cs="Bookman Old Style"/>
        <w:sz w:val="26"/>
        <w:szCs w:val="26"/>
      </w:rPr>
      <w:t>2011</w:t>
    </w:r>
    <w:r w:rsidR="000A67D2">
      <w:rPr>
        <w:rFonts w:ascii="Bookman Old Style" w:hAnsi="Bookman Old Style" w:cs="Bookman Old Style"/>
        <w:sz w:val="26"/>
        <w:szCs w:val="26"/>
      </w:rPr>
      <w:tab/>
    </w:r>
    <w:r w:rsidR="000A67D2">
      <w:rPr>
        <w:rFonts w:ascii="Bookman Old Style" w:hAnsi="Bookman Old Style" w:cs="Bookman Old Style"/>
        <w:sz w:val="26"/>
        <w:szCs w:val="26"/>
      </w:rPr>
      <w:tab/>
      <w:t xml:space="preserve">16.01 - </w:t>
    </w:r>
    <w:r w:rsidR="000A67D2">
      <w:rPr>
        <w:rStyle w:val="PageNumber"/>
        <w:rFonts w:ascii="Bookman Old Style" w:hAnsi="Bookman Old Style" w:cs="Bookman Old Style"/>
        <w:sz w:val="26"/>
        <w:szCs w:val="26"/>
      </w:rPr>
      <w:fldChar w:fldCharType="begin"/>
    </w:r>
    <w:r w:rsidR="000A67D2">
      <w:rPr>
        <w:rStyle w:val="PageNumber"/>
        <w:rFonts w:ascii="Bookman Old Style" w:hAnsi="Bookman Old Style" w:cs="Bookman Old Style"/>
        <w:sz w:val="26"/>
        <w:szCs w:val="26"/>
      </w:rPr>
      <w:instrText xml:space="preserve"> PAGE </w:instrText>
    </w:r>
    <w:r w:rsidR="000A67D2">
      <w:rPr>
        <w:rStyle w:val="PageNumber"/>
        <w:rFonts w:ascii="Bookman Old Style" w:hAnsi="Bookman Old Style" w:cs="Bookman Old Style"/>
        <w:sz w:val="26"/>
        <w:szCs w:val="26"/>
      </w:rPr>
      <w:fldChar w:fldCharType="separate"/>
    </w:r>
    <w:r w:rsidR="0039004F">
      <w:rPr>
        <w:rStyle w:val="PageNumber"/>
        <w:rFonts w:ascii="Bookman Old Style" w:hAnsi="Bookman Old Style" w:cs="Bookman Old Style"/>
        <w:noProof/>
        <w:sz w:val="26"/>
        <w:szCs w:val="26"/>
      </w:rPr>
      <w:t>1</w:t>
    </w:r>
    <w:r w:rsidR="000A67D2">
      <w:rPr>
        <w:rStyle w:val="PageNumber"/>
        <w:rFonts w:ascii="Bookman Old Style" w:hAnsi="Bookman Old Style" w:cs="Bookman Old Style"/>
        <w:sz w:val="26"/>
        <w:szCs w:val="2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99E" w:rsidRDefault="0048799E">
      <w:r>
        <w:separator/>
      </w:r>
    </w:p>
  </w:footnote>
  <w:footnote w:type="continuationSeparator" w:id="0">
    <w:p w:rsidR="0048799E" w:rsidRDefault="004879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7D2" w:rsidRDefault="000A67D2"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jc w:val="both"/>
      <w:rPr>
        <w:rFonts w:ascii="Bookman Old Style" w:hAnsi="Bookman Old Style" w:cs="Bookman Old Style"/>
        <w:snapToGrid w:val="0"/>
        <w:vanish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A3CB9"/>
    <w:multiLevelType w:val="hybridMultilevel"/>
    <w:tmpl w:val="F81620AC"/>
    <w:lvl w:ilvl="0" w:tplc="B69ABA42">
      <w:start w:val="4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Bookman Old Style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AB605D7"/>
    <w:multiLevelType w:val="hybridMultilevel"/>
    <w:tmpl w:val="5C302E4C"/>
    <w:lvl w:ilvl="0" w:tplc="98E0372E">
      <w:start w:val="4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20A2CBE"/>
    <w:multiLevelType w:val="hybridMultilevel"/>
    <w:tmpl w:val="2B4A332C"/>
    <w:lvl w:ilvl="0" w:tplc="42A4E516">
      <w:start w:val="4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Bookman Old Style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E91"/>
    <w:rsid w:val="00006998"/>
    <w:rsid w:val="0008557E"/>
    <w:rsid w:val="000A33C2"/>
    <w:rsid w:val="000A67D2"/>
    <w:rsid w:val="000B0F80"/>
    <w:rsid w:val="000C7612"/>
    <w:rsid w:val="00124774"/>
    <w:rsid w:val="00130585"/>
    <w:rsid w:val="00132431"/>
    <w:rsid w:val="00176C94"/>
    <w:rsid w:val="00195222"/>
    <w:rsid w:val="001E71D4"/>
    <w:rsid w:val="00233AC8"/>
    <w:rsid w:val="00250380"/>
    <w:rsid w:val="00291232"/>
    <w:rsid w:val="002A64AB"/>
    <w:rsid w:val="002E5509"/>
    <w:rsid w:val="0030328A"/>
    <w:rsid w:val="003035B0"/>
    <w:rsid w:val="00304501"/>
    <w:rsid w:val="00326CE8"/>
    <w:rsid w:val="003741DB"/>
    <w:rsid w:val="0039004F"/>
    <w:rsid w:val="00391562"/>
    <w:rsid w:val="00395FB8"/>
    <w:rsid w:val="003B1E91"/>
    <w:rsid w:val="003B4794"/>
    <w:rsid w:val="003B62A8"/>
    <w:rsid w:val="003C1A9C"/>
    <w:rsid w:val="003C558F"/>
    <w:rsid w:val="003E0785"/>
    <w:rsid w:val="003E4656"/>
    <w:rsid w:val="003F00BD"/>
    <w:rsid w:val="00432EBF"/>
    <w:rsid w:val="00444261"/>
    <w:rsid w:val="004455BB"/>
    <w:rsid w:val="00457A78"/>
    <w:rsid w:val="0047402A"/>
    <w:rsid w:val="0048799E"/>
    <w:rsid w:val="004C58E2"/>
    <w:rsid w:val="004C74E2"/>
    <w:rsid w:val="004D28EC"/>
    <w:rsid w:val="004D3038"/>
    <w:rsid w:val="004D34C1"/>
    <w:rsid w:val="004F3305"/>
    <w:rsid w:val="0053276C"/>
    <w:rsid w:val="005404E0"/>
    <w:rsid w:val="005422A4"/>
    <w:rsid w:val="005670C7"/>
    <w:rsid w:val="005B49F5"/>
    <w:rsid w:val="005E6D9E"/>
    <w:rsid w:val="005F1FB2"/>
    <w:rsid w:val="006042B9"/>
    <w:rsid w:val="00621217"/>
    <w:rsid w:val="006215EA"/>
    <w:rsid w:val="00647E8A"/>
    <w:rsid w:val="006568D0"/>
    <w:rsid w:val="00683FC6"/>
    <w:rsid w:val="006A1471"/>
    <w:rsid w:val="006C6CDA"/>
    <w:rsid w:val="0070187B"/>
    <w:rsid w:val="00707936"/>
    <w:rsid w:val="00735BD0"/>
    <w:rsid w:val="00744A11"/>
    <w:rsid w:val="00776C25"/>
    <w:rsid w:val="00790EFB"/>
    <w:rsid w:val="007E5666"/>
    <w:rsid w:val="007F4370"/>
    <w:rsid w:val="00825925"/>
    <w:rsid w:val="008472D2"/>
    <w:rsid w:val="008624FA"/>
    <w:rsid w:val="00885ECC"/>
    <w:rsid w:val="009169DB"/>
    <w:rsid w:val="00953A22"/>
    <w:rsid w:val="009C1F14"/>
    <w:rsid w:val="00A46E7F"/>
    <w:rsid w:val="00AB21EA"/>
    <w:rsid w:val="00AB321F"/>
    <w:rsid w:val="00AC761A"/>
    <w:rsid w:val="00B31726"/>
    <w:rsid w:val="00B40216"/>
    <w:rsid w:val="00B531F8"/>
    <w:rsid w:val="00B677EE"/>
    <w:rsid w:val="00BB28A6"/>
    <w:rsid w:val="00BC6FC4"/>
    <w:rsid w:val="00BF110E"/>
    <w:rsid w:val="00C11A93"/>
    <w:rsid w:val="00C24D84"/>
    <w:rsid w:val="00C304D7"/>
    <w:rsid w:val="00C606F3"/>
    <w:rsid w:val="00C70EC1"/>
    <w:rsid w:val="00CA1BBE"/>
    <w:rsid w:val="00CF1A58"/>
    <w:rsid w:val="00D06D97"/>
    <w:rsid w:val="00D10031"/>
    <w:rsid w:val="00D13027"/>
    <w:rsid w:val="00D23A2D"/>
    <w:rsid w:val="00D3544F"/>
    <w:rsid w:val="00D5629D"/>
    <w:rsid w:val="00D57A01"/>
    <w:rsid w:val="00D9282B"/>
    <w:rsid w:val="00DC0D34"/>
    <w:rsid w:val="00DD28B4"/>
    <w:rsid w:val="00DE71BA"/>
    <w:rsid w:val="00E0441A"/>
    <w:rsid w:val="00E24321"/>
    <w:rsid w:val="00E301BE"/>
    <w:rsid w:val="00E434A0"/>
    <w:rsid w:val="00ED0CE6"/>
    <w:rsid w:val="00EF6D19"/>
    <w:rsid w:val="00F13E42"/>
    <w:rsid w:val="00F1433F"/>
    <w:rsid w:val="00F843F8"/>
    <w:rsid w:val="00FA1B9F"/>
    <w:rsid w:val="00FA50D0"/>
    <w:rsid w:val="00FA625D"/>
    <w:rsid w:val="00FB1B03"/>
    <w:rsid w:val="00FC0270"/>
    <w:rsid w:val="00FC2B21"/>
    <w:rsid w:val="00FD74B7"/>
    <w:rsid w:val="00FE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left" w:pos="864"/>
      </w:tabs>
      <w:spacing w:line="360" w:lineRule="auto"/>
      <w:ind w:left="1584" w:hanging="864"/>
      <w:jc w:val="center"/>
      <w:outlineLvl w:val="0"/>
    </w:pPr>
    <w:rPr>
      <w:rFonts w:ascii="Bookman Old Style" w:hAnsi="Bookman Old Style" w:cs="Bookman Old Style"/>
      <w:sz w:val="26"/>
      <w:szCs w:val="26"/>
      <w:u w:val="single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Pr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</w:pPr>
    <w:rPr>
      <w:rFonts w:ascii="Bookman Old Style" w:hAnsi="Bookman Old Style" w:cs="Bookman Old Style"/>
      <w:vanish/>
      <w:sz w:val="26"/>
      <w:szCs w:val="26"/>
    </w:rPr>
  </w:style>
  <w:style w:type="character" w:customStyle="1" w:styleId="BodyTextChar">
    <w:name w:val="Body Text Char"/>
    <w:link w:val="BodyText"/>
    <w:uiPriority w:val="99"/>
    <w:semiHidden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pPr>
      <w:tabs>
        <w:tab w:val="left" w:pos="-1440"/>
        <w:tab w:val="left" w:pos="-720"/>
      </w:tabs>
      <w:spacing w:line="360" w:lineRule="auto"/>
      <w:jc w:val="both"/>
    </w:pPr>
    <w:rPr>
      <w:rFonts w:ascii="Bookman Old Style" w:hAnsi="Bookman Old Style" w:cs="Bookman Old Style"/>
      <w:sz w:val="26"/>
      <w:szCs w:val="26"/>
    </w:rPr>
  </w:style>
  <w:style w:type="character" w:customStyle="1" w:styleId="BodyText2Char">
    <w:name w:val="Body Text 2 Char"/>
    <w:link w:val="BodyText2"/>
    <w:uiPriority w:val="99"/>
    <w:semiHidden/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360" w:lineRule="auto"/>
      <w:ind w:left="2160" w:hanging="2160"/>
      <w:jc w:val="both"/>
    </w:pPr>
    <w:rPr>
      <w:rFonts w:ascii="Bookman Old Style" w:hAnsi="Bookman Old Style" w:cs="Bookman Old Style"/>
      <w:sz w:val="26"/>
      <w:szCs w:val="26"/>
    </w:rPr>
  </w:style>
  <w:style w:type="character" w:customStyle="1" w:styleId="BodyTextIndent2Char">
    <w:name w:val="Body Text Indent 2 Char"/>
    <w:link w:val="BodyTextIndent2"/>
    <w:uiPriority w:val="99"/>
    <w:semiHidden/>
    <w:rPr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pPr>
      <w:tabs>
        <w:tab w:val="left" w:pos="864"/>
      </w:tabs>
      <w:spacing w:line="360" w:lineRule="auto"/>
      <w:ind w:left="1584" w:hanging="864"/>
      <w:jc w:val="both"/>
    </w:pPr>
    <w:rPr>
      <w:rFonts w:ascii="Bookman Old Style" w:hAnsi="Bookman Old Style" w:cs="Bookman Old Style"/>
      <w:sz w:val="26"/>
      <w:szCs w:val="26"/>
    </w:rPr>
  </w:style>
  <w:style w:type="character" w:customStyle="1" w:styleId="BodyTextIndent3Char">
    <w:name w:val="Body Text Indent 3 Char"/>
    <w:link w:val="BodyTextIndent3"/>
    <w:uiPriority w:val="99"/>
    <w:semiHidden/>
    <w:rPr>
      <w:sz w:val="16"/>
      <w:szCs w:val="16"/>
    </w:rPr>
  </w:style>
  <w:style w:type="character" w:styleId="PageNumber">
    <w:name w:val="page number"/>
    <w:uiPriority w:val="99"/>
    <w:rPr>
      <w:rFonts w:cs="Times New Roman"/>
    </w:rPr>
  </w:style>
  <w:style w:type="character" w:customStyle="1" w:styleId="zzmpTrailerItem">
    <w:name w:val="zzmpTrailerItem"/>
    <w:uiPriority w:val="99"/>
    <w:rsid w:val="00F843F8"/>
    <w:rPr>
      <w:rFonts w:ascii="Times New Roman" w:hAnsi="Times New Roman" w:cs="Times New Roman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rsid w:val="00F843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left" w:pos="864"/>
      </w:tabs>
      <w:spacing w:line="360" w:lineRule="auto"/>
      <w:ind w:left="1584" w:hanging="864"/>
      <w:jc w:val="center"/>
      <w:outlineLvl w:val="0"/>
    </w:pPr>
    <w:rPr>
      <w:rFonts w:ascii="Bookman Old Style" w:hAnsi="Bookman Old Style" w:cs="Bookman Old Style"/>
      <w:sz w:val="26"/>
      <w:szCs w:val="26"/>
      <w:u w:val="single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Pr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</w:pPr>
    <w:rPr>
      <w:rFonts w:ascii="Bookman Old Style" w:hAnsi="Bookman Old Style" w:cs="Bookman Old Style"/>
      <w:vanish/>
      <w:sz w:val="26"/>
      <w:szCs w:val="26"/>
    </w:rPr>
  </w:style>
  <w:style w:type="character" w:customStyle="1" w:styleId="BodyTextChar">
    <w:name w:val="Body Text Char"/>
    <w:link w:val="BodyText"/>
    <w:uiPriority w:val="99"/>
    <w:semiHidden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pPr>
      <w:tabs>
        <w:tab w:val="left" w:pos="-1440"/>
        <w:tab w:val="left" w:pos="-720"/>
      </w:tabs>
      <w:spacing w:line="360" w:lineRule="auto"/>
      <w:jc w:val="both"/>
    </w:pPr>
    <w:rPr>
      <w:rFonts w:ascii="Bookman Old Style" w:hAnsi="Bookman Old Style" w:cs="Bookman Old Style"/>
      <w:sz w:val="26"/>
      <w:szCs w:val="26"/>
    </w:rPr>
  </w:style>
  <w:style w:type="character" w:customStyle="1" w:styleId="BodyText2Char">
    <w:name w:val="Body Text 2 Char"/>
    <w:link w:val="BodyText2"/>
    <w:uiPriority w:val="99"/>
    <w:semiHidden/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360" w:lineRule="auto"/>
      <w:ind w:left="2160" w:hanging="2160"/>
      <w:jc w:val="both"/>
    </w:pPr>
    <w:rPr>
      <w:rFonts w:ascii="Bookman Old Style" w:hAnsi="Bookman Old Style" w:cs="Bookman Old Style"/>
      <w:sz w:val="26"/>
      <w:szCs w:val="26"/>
    </w:rPr>
  </w:style>
  <w:style w:type="character" w:customStyle="1" w:styleId="BodyTextIndent2Char">
    <w:name w:val="Body Text Indent 2 Char"/>
    <w:link w:val="BodyTextIndent2"/>
    <w:uiPriority w:val="99"/>
    <w:semiHidden/>
    <w:rPr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pPr>
      <w:tabs>
        <w:tab w:val="left" w:pos="864"/>
      </w:tabs>
      <w:spacing w:line="360" w:lineRule="auto"/>
      <w:ind w:left="1584" w:hanging="864"/>
      <w:jc w:val="both"/>
    </w:pPr>
    <w:rPr>
      <w:rFonts w:ascii="Bookman Old Style" w:hAnsi="Bookman Old Style" w:cs="Bookman Old Style"/>
      <w:sz w:val="26"/>
      <w:szCs w:val="26"/>
    </w:rPr>
  </w:style>
  <w:style w:type="character" w:customStyle="1" w:styleId="BodyTextIndent3Char">
    <w:name w:val="Body Text Indent 3 Char"/>
    <w:link w:val="BodyTextIndent3"/>
    <w:uiPriority w:val="99"/>
    <w:semiHidden/>
    <w:rPr>
      <w:sz w:val="16"/>
      <w:szCs w:val="16"/>
    </w:rPr>
  </w:style>
  <w:style w:type="character" w:styleId="PageNumber">
    <w:name w:val="page number"/>
    <w:uiPriority w:val="99"/>
    <w:rPr>
      <w:rFonts w:cs="Times New Roman"/>
    </w:rPr>
  </w:style>
  <w:style w:type="character" w:customStyle="1" w:styleId="zzmpTrailerItem">
    <w:name w:val="zzmpTrailerItem"/>
    <w:uiPriority w:val="99"/>
    <w:rsid w:val="00F843F8"/>
    <w:rPr>
      <w:rFonts w:ascii="Times New Roman" w:hAnsi="Times New Roman" w:cs="Times New Roman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rsid w:val="00F843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> </Manager>
  <Company> </Company>
  <LinksUpToDate>false</LinksUpToDate>
  <CharactersWithSpaces>5664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 </dc:creator>
  <cp:keywords> </cp:keywords>
  <dc:description> </dc:description>
  <cp:lastModifiedBy>Michael Merrington</cp:lastModifiedBy>
  <cp:revision>3</cp:revision>
  <cp:lastPrinted>2011-01-20T01:45:00Z</cp:lastPrinted>
  <dcterms:created xsi:type="dcterms:W3CDTF">2017-04-04T18:50:00Z</dcterms:created>
  <dcterms:modified xsi:type="dcterms:W3CDTF">2017-04-04T18:50:00Z</dcterms:modified>
  <cp:category> </cp:category>
</cp:coreProperties>
</file>