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7D2" w:rsidRDefault="00F964B1">
      <w:pPr>
        <w:tabs>
          <w:tab w:val="left" w:pos="-1440"/>
          <w:tab w:val="left" w:pos="-720"/>
          <w:tab w:val="left" w:pos="1440"/>
        </w:tabs>
        <w:ind w:left="1440" w:hanging="1440"/>
        <w:jc w:val="both"/>
        <w:rPr>
          <w:rFonts w:ascii="Bookman Old Style" w:hAnsi="Bookman Old Style" w:cs="Bookman Old Style"/>
          <w:b/>
          <w:bCs/>
          <w:snapToGrid w:val="0"/>
          <w:sz w:val="26"/>
          <w:szCs w:val="26"/>
        </w:rPr>
      </w:pPr>
      <w:bookmarkStart w:id="0" w:name="_GoBack"/>
      <w:bookmarkEnd w:id="0"/>
      <w:r>
        <w:rPr>
          <w:rFonts w:ascii="Bookman Old Style" w:hAnsi="Bookman Old Style" w:cs="Bookman Old Style"/>
          <w:b/>
          <w:bCs/>
          <w:snapToGrid w:val="0"/>
          <w:sz w:val="26"/>
          <w:szCs w:val="26"/>
        </w:rPr>
        <w:t>16.04</w:t>
      </w:r>
      <w:r w:rsidR="000A67D2">
        <w:rPr>
          <w:rFonts w:ascii="Bookman Old Style" w:hAnsi="Bookman Old Style" w:cs="Bookman Old Style"/>
          <w:b/>
          <w:bCs/>
          <w:snapToGrid w:val="0"/>
          <w:sz w:val="26"/>
          <w:szCs w:val="26"/>
        </w:rPr>
        <w:tab/>
        <w:t>DEFAMATION</w:t>
      </w:r>
      <w:r w:rsidR="000A67D2">
        <w:rPr>
          <w:b/>
          <w:bCs/>
        </w:rPr>
        <w:t xml:space="preserve"> </w:t>
      </w:r>
      <w:r w:rsidR="000A67D2">
        <w:rPr>
          <w:rFonts w:ascii="Bookman Old Style" w:hAnsi="Bookman Old Style" w:cs="Bookman Old Style"/>
          <w:b/>
          <w:bCs/>
          <w:sz w:val="26"/>
          <w:szCs w:val="26"/>
        </w:rPr>
        <w:t xml:space="preserve">— </w:t>
      </w:r>
      <w:r w:rsidR="000A67D2">
        <w:rPr>
          <w:rFonts w:ascii="Bookman Old Style" w:hAnsi="Bookman Old Style" w:cs="Bookman Old Style"/>
          <w:b/>
          <w:bCs/>
          <w:snapToGrid w:val="0"/>
          <w:sz w:val="26"/>
          <w:szCs w:val="26"/>
        </w:rPr>
        <w:t>ELEMENTS O</w:t>
      </w:r>
      <w:r>
        <w:rPr>
          <w:rFonts w:ascii="Bookman Old Style" w:hAnsi="Bookman Old Style" w:cs="Bookman Old Style"/>
          <w:b/>
          <w:bCs/>
          <w:snapToGrid w:val="0"/>
          <w:sz w:val="26"/>
          <w:szCs w:val="26"/>
        </w:rPr>
        <w:t>F DEFAMATION PER QUOD</w:t>
      </w:r>
      <w:r w:rsidR="00E34977">
        <w:rPr>
          <w:rFonts w:ascii="Bookman Old Style" w:hAnsi="Bookman Old Style" w:cs="Bookman Old Style"/>
          <w:b/>
          <w:bCs/>
          <w:snapToGrid w:val="0"/>
          <w:sz w:val="26"/>
          <w:szCs w:val="26"/>
        </w:rPr>
        <w:t xml:space="preserve"> WHERE PLAINTIFF IS PUBLIC FIGURE OR STATEMENT </w:t>
      </w:r>
      <w:r w:rsidR="003B62A8">
        <w:rPr>
          <w:rFonts w:ascii="Bookman Old Style" w:hAnsi="Bookman Old Style" w:cs="Bookman Old Style"/>
          <w:b/>
          <w:bCs/>
          <w:snapToGrid w:val="0"/>
          <w:sz w:val="26"/>
          <w:szCs w:val="26"/>
        </w:rPr>
        <w:t>RELATE</w:t>
      </w:r>
      <w:r w:rsidR="00E34977">
        <w:rPr>
          <w:rFonts w:ascii="Bookman Old Style" w:hAnsi="Bookman Old Style" w:cs="Bookman Old Style"/>
          <w:b/>
          <w:bCs/>
          <w:snapToGrid w:val="0"/>
          <w:sz w:val="26"/>
          <w:szCs w:val="26"/>
        </w:rPr>
        <w:t>S</w:t>
      </w:r>
      <w:r w:rsidR="003B62A8">
        <w:rPr>
          <w:rFonts w:ascii="Bookman Old Style" w:hAnsi="Bookman Old Style" w:cs="Bookman Old Style"/>
          <w:b/>
          <w:bCs/>
          <w:snapToGrid w:val="0"/>
          <w:sz w:val="26"/>
          <w:szCs w:val="26"/>
        </w:rPr>
        <w:t xml:space="preserve"> TO ISSUE OF PUBLIC INTEREST OR CONCERN</w:t>
      </w:r>
    </w:p>
    <w:p w:rsidR="000A67D2" w:rsidRDefault="000A67D2">
      <w:pPr>
        <w:tabs>
          <w:tab w:val="left" w:pos="-1440"/>
          <w:tab w:val="left" w:pos="-720"/>
          <w:tab w:val="left" w:pos="990"/>
        </w:tabs>
        <w:spacing w:line="360" w:lineRule="auto"/>
        <w:ind w:left="990" w:hanging="990"/>
        <w:jc w:val="both"/>
        <w:rPr>
          <w:rFonts w:ascii="Bookman Old Style" w:hAnsi="Bookman Old Style" w:cs="Bookman Old Style"/>
          <w:snapToGrid w:val="0"/>
          <w:sz w:val="26"/>
          <w:szCs w:val="26"/>
        </w:rPr>
      </w:pPr>
    </w:p>
    <w:p w:rsidR="00FA1B9F" w:rsidRDefault="000A67D2" w:rsidP="00FA1B9F">
      <w:pPr>
        <w:pStyle w:val="BodyText2"/>
      </w:pPr>
      <w:r>
        <w:t>In this case, the plaintiff claims that the defendant harmed the plaintiff's reputation by making</w:t>
      </w:r>
      <w:r w:rsidR="00233AC8">
        <w:t xml:space="preserve"> </w:t>
      </w:r>
      <w:r w:rsidR="002C2C20">
        <w:t>a false</w:t>
      </w:r>
      <w:r w:rsidR="00233AC8">
        <w:t xml:space="preserve"> statement about the plaintiff</w:t>
      </w:r>
      <w:r>
        <w:t xml:space="preserve">.  </w:t>
      </w:r>
      <w:r w:rsidR="00FA1B9F">
        <w:t>To establish this cla</w:t>
      </w:r>
      <w:r w:rsidR="00BF110E">
        <w:t xml:space="preserve">im, the plaintiff must prove </w:t>
      </w:r>
      <w:r w:rsidR="00166D0A">
        <w:t>seven</w:t>
      </w:r>
      <w:r w:rsidR="002979A2">
        <w:t xml:space="preserve"> elements. The plaintiff must prove </w:t>
      </w:r>
      <w:r w:rsidR="00BF110E">
        <w:t xml:space="preserve">that each of the following </w:t>
      </w:r>
      <w:r w:rsidR="00166D0A">
        <w:t>six</w:t>
      </w:r>
      <w:r w:rsidR="002979A2">
        <w:t xml:space="preserve"> </w:t>
      </w:r>
      <w:r w:rsidR="00BF110E">
        <w:t xml:space="preserve">elements is more likely true than not true: </w:t>
      </w:r>
    </w:p>
    <w:p w:rsidR="000A67D2" w:rsidRDefault="000A67D2">
      <w:pPr>
        <w:tabs>
          <w:tab w:val="left" w:pos="-1440"/>
          <w:tab w:val="left" w:pos="-720"/>
          <w:tab w:val="left" w:pos="990"/>
        </w:tabs>
        <w:spacing w:line="360" w:lineRule="auto"/>
        <w:ind w:left="990" w:hanging="990"/>
        <w:jc w:val="both"/>
        <w:rPr>
          <w:rFonts w:ascii="Bookman Old Style" w:hAnsi="Bookman Old Style" w:cs="Bookman Old Style"/>
          <w:snapToGrid w:val="0"/>
          <w:sz w:val="26"/>
          <w:szCs w:val="26"/>
        </w:rPr>
      </w:pPr>
    </w:p>
    <w:p w:rsidR="000A67D2" w:rsidRDefault="00166D0A">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(1)</w:t>
      </w:r>
      <w:r w:rsidR="000A67D2">
        <w:rPr>
          <w:rFonts w:ascii="Bookman Old Style" w:hAnsi="Bookman Old Style" w:cs="Bookman Old Style"/>
          <w:snapToGrid w:val="0"/>
          <w:sz w:val="26"/>
          <w:szCs w:val="26"/>
        </w:rPr>
        <w:tab/>
        <w:t xml:space="preserve">the defendant communicated </w:t>
      </w:r>
      <w:r>
        <w:rPr>
          <w:rFonts w:ascii="Bookman Old Style" w:hAnsi="Bookman Old Style" w:cs="Bookman Old Style"/>
          <w:snapToGrid w:val="0"/>
          <w:sz w:val="26"/>
          <w:szCs w:val="26"/>
        </w:rPr>
        <w:t>a</w:t>
      </w:r>
      <w:r w:rsidR="000A67D2">
        <w:rPr>
          <w:rFonts w:ascii="Bookman Old Style" w:hAnsi="Bookman Old Style" w:cs="Bookman Old Style"/>
          <w:snapToGrid w:val="0"/>
          <w:sz w:val="26"/>
          <w:szCs w:val="26"/>
        </w:rPr>
        <w:t xml:space="preserve"> statement to a person other than the plaintiff; </w:t>
      </w:r>
    </w:p>
    <w:p w:rsidR="000A67D2" w:rsidRDefault="000A67D2">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p>
    <w:p w:rsidR="00EC15FD" w:rsidRDefault="00166D0A" w:rsidP="00983DCD">
      <w:pPr>
        <w:tabs>
          <w:tab w:val="left" w:pos="-1440"/>
          <w:tab w:val="left" w:pos="-720"/>
          <w:tab w:val="left" w:pos="99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(2)</w:t>
      </w:r>
      <w:r w:rsidR="000A67D2">
        <w:rPr>
          <w:rFonts w:ascii="Bookman Old Style" w:hAnsi="Bookman Old Style" w:cs="Bookman Old Style"/>
          <w:snapToGrid w:val="0"/>
          <w:sz w:val="26"/>
          <w:szCs w:val="26"/>
        </w:rPr>
        <w:tab/>
        <w:t>the statement was reasonably understood by this person to be about the plaintiff;</w:t>
      </w:r>
      <w:r w:rsidR="00F964B1">
        <w:rPr>
          <w:rFonts w:ascii="Bookman Old Style" w:hAnsi="Bookman Old Style" w:cs="Bookman Old Style"/>
          <w:snapToGrid w:val="0"/>
          <w:sz w:val="26"/>
          <w:szCs w:val="26"/>
        </w:rPr>
        <w:t xml:space="preserve"> </w:t>
      </w:r>
      <w:r w:rsidR="000A67D2">
        <w:rPr>
          <w:rFonts w:ascii="Bookman Old Style" w:hAnsi="Bookman Old Style" w:cs="Bookman Old Style"/>
          <w:snapToGrid w:val="0"/>
          <w:sz w:val="26"/>
          <w:szCs w:val="26"/>
        </w:rPr>
        <w:t xml:space="preserve"> </w:t>
      </w:r>
    </w:p>
    <w:p w:rsidR="00983DCD" w:rsidRDefault="00983DCD" w:rsidP="0008557E">
      <w:pPr>
        <w:tabs>
          <w:tab w:val="left" w:pos="-1440"/>
          <w:tab w:val="left" w:pos="-720"/>
          <w:tab w:val="left" w:pos="990"/>
        </w:tabs>
        <w:spacing w:line="360" w:lineRule="auto"/>
        <w:jc w:val="both"/>
        <w:rPr>
          <w:rFonts w:ascii="Bookman Old Style" w:hAnsi="Bookman Old Style" w:cs="Bookman Old Style"/>
          <w:snapToGrid w:val="0"/>
          <w:sz w:val="26"/>
          <w:szCs w:val="26"/>
        </w:rPr>
      </w:pPr>
    </w:p>
    <w:p w:rsidR="00E301BE" w:rsidRDefault="00166D0A" w:rsidP="00EC15FD">
      <w:pPr>
        <w:tabs>
          <w:tab w:val="left" w:pos="-1440"/>
          <w:tab w:val="left" w:pos="-720"/>
          <w:tab w:val="left" w:pos="99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(3)</w:t>
      </w:r>
      <w:r w:rsidR="00EC15FD">
        <w:rPr>
          <w:rFonts w:ascii="Bookman Old Style" w:hAnsi="Bookman Old Style" w:cs="Bookman Old Style"/>
          <w:snapToGrid w:val="0"/>
          <w:sz w:val="26"/>
          <w:szCs w:val="26"/>
        </w:rPr>
        <w:t xml:space="preserve"> </w:t>
      </w:r>
      <w:r w:rsidR="00EC15FD">
        <w:rPr>
          <w:rFonts w:ascii="Bookman Old Style" w:hAnsi="Bookman Old Style" w:cs="Bookman Old Style"/>
          <w:snapToGrid w:val="0"/>
          <w:sz w:val="26"/>
          <w:szCs w:val="26"/>
        </w:rPr>
        <w:tab/>
        <w:t>the statement tended to harm the plaintiff’s reputation or to discourage others from associating with the plaintiff;</w:t>
      </w:r>
    </w:p>
    <w:p w:rsidR="00EC15FD" w:rsidRDefault="00EC15FD" w:rsidP="0008557E">
      <w:pPr>
        <w:tabs>
          <w:tab w:val="left" w:pos="-1440"/>
          <w:tab w:val="left" w:pos="-720"/>
          <w:tab w:val="left" w:pos="990"/>
        </w:tabs>
        <w:spacing w:line="360" w:lineRule="auto"/>
        <w:jc w:val="both"/>
        <w:rPr>
          <w:rFonts w:ascii="Bookman Old Style" w:hAnsi="Bookman Old Style" w:cs="Bookman Old Style"/>
          <w:snapToGrid w:val="0"/>
          <w:sz w:val="26"/>
          <w:szCs w:val="26"/>
        </w:rPr>
      </w:pPr>
    </w:p>
    <w:p w:rsidR="00F964B1" w:rsidRDefault="00166D0A">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(4)</w:t>
      </w:r>
      <w:r w:rsidR="00F964B1">
        <w:rPr>
          <w:rFonts w:ascii="Bookman Old Style" w:hAnsi="Bookman Old Style" w:cs="Bookman Old Style"/>
          <w:snapToGrid w:val="0"/>
          <w:sz w:val="26"/>
          <w:szCs w:val="26"/>
        </w:rPr>
        <w:tab/>
        <w:t>the statement was false</w:t>
      </w:r>
      <w:r w:rsidR="0066561C">
        <w:rPr>
          <w:rFonts w:ascii="Bookman Old Style" w:hAnsi="Bookman Old Style" w:cs="Bookman Old Style"/>
          <w:snapToGrid w:val="0"/>
          <w:sz w:val="26"/>
          <w:szCs w:val="26"/>
        </w:rPr>
        <w:t>;</w:t>
      </w:r>
    </w:p>
    <w:p w:rsidR="00F964B1" w:rsidRDefault="00F964B1">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p>
    <w:p w:rsidR="00F964B1" w:rsidRDefault="00166D0A" w:rsidP="00F964B1">
      <w:pPr>
        <w:tabs>
          <w:tab w:val="left" w:pos="-1440"/>
          <w:tab w:val="left" w:pos="-720"/>
        </w:tabs>
        <w:spacing w:line="360" w:lineRule="auto"/>
        <w:ind w:left="720" w:hanging="720"/>
        <w:jc w:val="both"/>
        <w:rPr>
          <w:rFonts w:ascii="Bookman Old Style" w:hAnsi="Bookman Old Style"/>
          <w:sz w:val="26"/>
          <w:szCs w:val="24"/>
        </w:rPr>
      </w:pPr>
      <w:r>
        <w:rPr>
          <w:rFonts w:ascii="Bookman Old Style" w:hAnsi="Bookman Old Style"/>
          <w:sz w:val="26"/>
          <w:szCs w:val="24"/>
        </w:rPr>
        <w:t>(5)</w:t>
      </w:r>
      <w:r w:rsidR="00F964B1">
        <w:rPr>
          <w:rFonts w:ascii="Bookman Old Style" w:hAnsi="Bookman Old Style"/>
          <w:sz w:val="26"/>
          <w:szCs w:val="24"/>
        </w:rPr>
        <w:tab/>
        <w:t xml:space="preserve">the </w:t>
      </w:r>
      <w:r w:rsidR="00EC15FD">
        <w:rPr>
          <w:rFonts w:ascii="Bookman Old Style" w:hAnsi="Bookman Old Style"/>
          <w:sz w:val="26"/>
          <w:szCs w:val="24"/>
        </w:rPr>
        <w:t xml:space="preserve">plaintiff </w:t>
      </w:r>
      <w:r w:rsidR="001751CB">
        <w:rPr>
          <w:rFonts w:ascii="Bookman Old Style" w:hAnsi="Bookman Old Style"/>
          <w:sz w:val="26"/>
          <w:szCs w:val="24"/>
        </w:rPr>
        <w:t>suffered a specific monetary loss</w:t>
      </w:r>
      <w:r w:rsidR="00F964B1">
        <w:rPr>
          <w:rFonts w:ascii="Bookman Old Style" w:hAnsi="Bookman Old Style"/>
          <w:sz w:val="26"/>
          <w:szCs w:val="24"/>
        </w:rPr>
        <w:t>; and</w:t>
      </w:r>
    </w:p>
    <w:p w:rsidR="00F964B1" w:rsidRDefault="00F964B1" w:rsidP="00F964B1">
      <w:pPr>
        <w:tabs>
          <w:tab w:val="left" w:pos="-1440"/>
          <w:tab w:val="left" w:pos="-720"/>
        </w:tabs>
        <w:spacing w:line="360" w:lineRule="auto"/>
        <w:ind w:left="720" w:hanging="720"/>
        <w:jc w:val="both"/>
        <w:rPr>
          <w:rFonts w:ascii="Bookman Old Style" w:hAnsi="Bookman Old Style"/>
          <w:sz w:val="26"/>
          <w:szCs w:val="24"/>
        </w:rPr>
      </w:pPr>
    </w:p>
    <w:p w:rsidR="00F964B1" w:rsidRPr="00BF110E" w:rsidRDefault="00166D0A" w:rsidP="00F964B1">
      <w:pPr>
        <w:tabs>
          <w:tab w:val="left" w:pos="-1440"/>
          <w:tab w:val="left" w:pos="-720"/>
        </w:tabs>
        <w:spacing w:line="360" w:lineRule="auto"/>
        <w:ind w:left="720" w:hanging="720"/>
        <w:jc w:val="both"/>
        <w:rPr>
          <w:rFonts w:ascii="Bookman Old Style" w:hAnsi="Bookman Old Style"/>
          <w:sz w:val="26"/>
          <w:szCs w:val="24"/>
        </w:rPr>
      </w:pPr>
      <w:r>
        <w:rPr>
          <w:rFonts w:ascii="Bookman Old Style" w:hAnsi="Bookman Old Style"/>
          <w:sz w:val="26"/>
          <w:szCs w:val="24"/>
        </w:rPr>
        <w:t>(6)</w:t>
      </w:r>
      <w:r w:rsidR="00F964B1">
        <w:rPr>
          <w:rFonts w:ascii="Bookman Old Style" w:hAnsi="Bookman Old Style"/>
          <w:sz w:val="26"/>
          <w:szCs w:val="24"/>
        </w:rPr>
        <w:tab/>
        <w:t xml:space="preserve">the statement was a substantial factor in causing </w:t>
      </w:r>
      <w:r w:rsidR="001751CB">
        <w:rPr>
          <w:rFonts w:ascii="Bookman Old Style" w:hAnsi="Bookman Old Style"/>
          <w:sz w:val="26"/>
          <w:szCs w:val="24"/>
        </w:rPr>
        <w:t>that loss</w:t>
      </w:r>
      <w:r w:rsidR="00F964B1">
        <w:rPr>
          <w:rFonts w:ascii="Bookman Old Style" w:hAnsi="Bookman Old Style"/>
          <w:sz w:val="26"/>
          <w:szCs w:val="24"/>
        </w:rPr>
        <w:t>.</w:t>
      </w:r>
    </w:p>
    <w:p w:rsidR="00E34977" w:rsidRDefault="00E34977">
      <w:pPr>
        <w:tabs>
          <w:tab w:val="left" w:pos="-1440"/>
          <w:tab w:val="left" w:pos="-720"/>
          <w:tab w:val="left" w:pos="720"/>
        </w:tabs>
        <w:spacing w:line="360" w:lineRule="auto"/>
        <w:ind w:left="720" w:hanging="720"/>
        <w:jc w:val="both"/>
        <w:rPr>
          <w:rFonts w:ascii="Bookman Old Style" w:hAnsi="Bookman Old Style" w:cs="Bookman Old Style"/>
          <w:snapToGrid w:val="0"/>
          <w:sz w:val="26"/>
          <w:szCs w:val="26"/>
        </w:rPr>
      </w:pPr>
    </w:p>
    <w:p w:rsidR="00F70134" w:rsidRDefault="00F70134" w:rsidP="00F70134">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rPr>
          <w:snapToGrid w:val="0"/>
          <w:szCs w:val="24"/>
        </w:rPr>
        <w:t xml:space="preserve">The </w:t>
      </w:r>
      <w:r w:rsidR="00166D0A">
        <w:rPr>
          <w:snapToGrid w:val="0"/>
          <w:szCs w:val="24"/>
        </w:rPr>
        <w:t>seventh</w:t>
      </w:r>
      <w:r w:rsidR="002979A2">
        <w:rPr>
          <w:snapToGrid w:val="0"/>
          <w:szCs w:val="24"/>
        </w:rPr>
        <w:t xml:space="preserve"> element of this claim requires the </w:t>
      </w:r>
      <w:r>
        <w:rPr>
          <w:snapToGrid w:val="0"/>
          <w:szCs w:val="24"/>
        </w:rPr>
        <w:t xml:space="preserve">plaintiff </w:t>
      </w:r>
      <w:r w:rsidR="002979A2">
        <w:rPr>
          <w:snapToGrid w:val="0"/>
          <w:szCs w:val="24"/>
        </w:rPr>
        <w:t>to</w:t>
      </w:r>
      <w:r>
        <w:rPr>
          <w:snapToGrid w:val="0"/>
          <w:szCs w:val="24"/>
        </w:rPr>
        <w:t xml:space="preserve"> </w:t>
      </w:r>
      <w:r>
        <w:t>prove by clear and convincing evidence that</w:t>
      </w:r>
      <w:r w:rsidR="008C49B6">
        <w:t xml:space="preserve"> </w:t>
      </w:r>
      <w:r>
        <w:t xml:space="preserve">the defendant </w:t>
      </w:r>
      <w:r w:rsidR="008C49B6">
        <w:t xml:space="preserve">either </w:t>
      </w:r>
      <w:r>
        <w:t xml:space="preserve">knew </w:t>
      </w:r>
      <w:r w:rsidR="0008195F">
        <w:t xml:space="preserve">that </w:t>
      </w:r>
      <w:r w:rsidR="00C735CF">
        <w:t xml:space="preserve">the statement was false or </w:t>
      </w:r>
      <w:r w:rsidR="002979A2">
        <w:t>had</w:t>
      </w:r>
      <w:r w:rsidR="00C735CF">
        <w:t xml:space="preserve"> serious doubts </w:t>
      </w:r>
      <w:r w:rsidR="002979A2">
        <w:t>about</w:t>
      </w:r>
      <w:r w:rsidR="00C735CF">
        <w:t xml:space="preserve"> </w:t>
      </w:r>
      <w:r>
        <w:t xml:space="preserve">the truth of the statement. </w:t>
      </w:r>
    </w:p>
    <w:p w:rsidR="00F70134" w:rsidRDefault="0016032E" w:rsidP="00F70134">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lastRenderedPageBreak/>
        <w:t xml:space="preserve">An </w:t>
      </w:r>
      <w:r w:rsidR="001B475C">
        <w:t>alleged fact</w:t>
      </w:r>
      <w:r w:rsidR="00F70134">
        <w:t xml:space="preserve"> is established by clear and convincing evidence if the evidence leads you to believe that the alleged fact is highly probable. It is not necessary that the alleged fact be certainly true</w:t>
      </w:r>
      <w:r w:rsidR="00362A09">
        <w:t>,</w:t>
      </w:r>
      <w:r w:rsidR="00F70134">
        <w:t xml:space="preserve"> or true beyond a reasonable doubt</w:t>
      </w:r>
      <w:r w:rsidR="00362A09">
        <w:t>,</w:t>
      </w:r>
      <w:r w:rsidR="00F70134">
        <w:t xml:space="preserve"> or conclusively true. However, it is not enough to show that the alleged fact is </w:t>
      </w:r>
      <w:r>
        <w:t>more likely true than not true.</w:t>
      </w:r>
    </w:p>
    <w:p w:rsidR="00440329" w:rsidRDefault="00440329" w:rsidP="00440329">
      <w:pPr>
        <w:tabs>
          <w:tab w:val="left" w:pos="-1440"/>
          <w:tab w:val="left" w:pos="-720"/>
        </w:tabs>
        <w:spacing w:line="360" w:lineRule="auto"/>
        <w:jc w:val="both"/>
        <w:rPr>
          <w:rFonts w:ascii="Bookman Old Style" w:hAnsi="Bookman Old Style" w:cs="Bookman Old Style"/>
          <w:snapToGrid w:val="0"/>
          <w:sz w:val="26"/>
          <w:szCs w:val="24"/>
        </w:rPr>
      </w:pPr>
    </w:p>
    <w:p w:rsidR="00BF110E" w:rsidRDefault="00BF110E" w:rsidP="00BF110E">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left" w:pos="810"/>
        </w:tabs>
        <w:ind w:left="0" w:firstLine="0"/>
      </w:pPr>
      <w:r>
        <w:t xml:space="preserve">If the plaintiff fails to prove any one of these elements, you must </w:t>
      </w:r>
      <w:r w:rsidR="002979A2">
        <w:t>find</w:t>
      </w:r>
      <w:r>
        <w:t xml:space="preserve"> for the defendant</w:t>
      </w:r>
      <w:r w:rsidR="002979A2">
        <w:t xml:space="preserve"> on this claim</w:t>
      </w:r>
      <w:r>
        <w:t>.</w:t>
      </w:r>
    </w:p>
    <w:p w:rsidR="00395FB8" w:rsidRDefault="00395FB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p>
    <w:p w:rsidR="000A33C2" w:rsidRDefault="001B475C">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r>
        <w:t xml:space="preserve">If the plaintiff proves all </w:t>
      </w:r>
      <w:r w:rsidR="00166D0A">
        <w:t>seven</w:t>
      </w:r>
      <w:r w:rsidR="00BF110E">
        <w:t xml:space="preserve"> elements</w:t>
      </w:r>
      <w:r w:rsidR="000A67D2">
        <w:t xml:space="preserve">, [you must </w:t>
      </w:r>
      <w:r w:rsidR="002979A2">
        <w:t>find</w:t>
      </w:r>
      <w:r w:rsidR="000A67D2">
        <w:t xml:space="preserve"> for the plaintiff</w:t>
      </w:r>
      <w:r w:rsidR="002979A2">
        <w:t xml:space="preserve"> on this claim</w:t>
      </w:r>
      <w:r w:rsidR="000A67D2">
        <w:t xml:space="preserve">] [you must </w:t>
      </w:r>
      <w:r w:rsidR="000A33C2">
        <w:t xml:space="preserve">then </w:t>
      </w:r>
      <w:r w:rsidR="000A67D2">
        <w:t>de</w:t>
      </w:r>
      <w:r w:rsidR="00FA1B9F">
        <w:t xml:space="preserve">cide whether the law allows the </w:t>
      </w:r>
      <w:r w:rsidR="000A67D2">
        <w:t>defendant to make the statement].</w:t>
      </w:r>
    </w:p>
    <w:p w:rsidR="00233AC8" w:rsidRDefault="00233AC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pPr>
    </w:p>
    <w:p w:rsidR="00233AC8" w:rsidRPr="00D75A99"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jc w:val="center"/>
        <w:rPr>
          <w:u w:val="single"/>
        </w:rPr>
      </w:pPr>
      <w:r w:rsidRPr="00D75A99">
        <w:rPr>
          <w:u w:val="single"/>
        </w:rPr>
        <w:t>Use Note</w:t>
      </w:r>
    </w:p>
    <w:p w:rsidR="00233AC8" w:rsidRDefault="00233AC8" w:rsidP="00233AC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ind w:left="0" w:firstLine="0"/>
        <w:jc w:val="center"/>
      </w:pPr>
    </w:p>
    <w:p w:rsidR="00233AC8"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This instr</w:t>
      </w:r>
      <w:r w:rsidR="003E4656">
        <w:t>uction should only be used when</w:t>
      </w:r>
      <w:r>
        <w:t xml:space="preserve"> the plaintiff alleges defamati</w:t>
      </w:r>
      <w:r w:rsidR="0066561C">
        <w:t xml:space="preserve">on per quod and the </w:t>
      </w:r>
      <w:r w:rsidR="00AA46A9">
        <w:t xml:space="preserve">court has determined that the plaintiff is a public figure </w:t>
      </w:r>
      <w:r w:rsidR="00BC6FC4">
        <w:t xml:space="preserve">or </w:t>
      </w:r>
      <w:r w:rsidR="00AA46A9">
        <w:t xml:space="preserve">the statement </w:t>
      </w:r>
      <w:r w:rsidR="00690E9A">
        <w:t>related</w:t>
      </w:r>
      <w:r w:rsidR="00AA46A9">
        <w:t xml:space="preserve"> to </w:t>
      </w:r>
      <w:r w:rsidR="00BC6FC4">
        <w:t>a matter of public concern</w:t>
      </w:r>
      <w:r>
        <w:t>.  If the defendant claims that the statement was privileged, the second bracketed phrase in the last paragraph should be used</w:t>
      </w:r>
      <w:r w:rsidR="006065A8">
        <w:t xml:space="preserve"> and Instruction 16.10 (Privileges and Abuse of Privilege) should be given</w:t>
      </w:r>
      <w:r w:rsidR="00B97D97">
        <w:t>.</w:t>
      </w:r>
    </w:p>
    <w:p w:rsidR="00233AC8"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9E0DAD" w:rsidRDefault="009E0DAD" w:rsidP="009E0DA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 xml:space="preserve">In a case where it is undisputed that the defendant published the statement to one or more persons other than the plaintiff, Element </w:t>
      </w:r>
      <w:r w:rsidR="005217C6">
        <w:t>1</w:t>
      </w:r>
      <w:r>
        <w:t xml:space="preserve"> can be eliminated.  </w:t>
      </w:r>
    </w:p>
    <w:p w:rsidR="002979A2" w:rsidRDefault="002979A2"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666E0D" w:rsidRDefault="00666E0D" w:rsidP="00666E0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rsidRPr="00666E0D">
        <w:t xml:space="preserve"> </w:t>
      </w:r>
      <w:r>
        <w:t>If the plaintiff alleges both defamation per quod and defamation per se, Instruction 16.01 should also be given, and the first sentence of this instruction should be revised to read:</w:t>
      </w:r>
    </w:p>
    <w:p w:rsidR="00666E0D" w:rsidRDefault="00666E0D" w:rsidP="00666E0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666E0D" w:rsidRDefault="00666E0D" w:rsidP="00666E0D">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720" w:right="720" w:firstLine="0"/>
      </w:pPr>
      <w:r>
        <w:t>In this case, the plaintiff claims that the defendant harmed the plaintiff’s reputation by making the following statements about the plaintiff: [list all claimed per quod defamatory statements].</w:t>
      </w:r>
    </w:p>
    <w:p w:rsidR="00233AC8" w:rsidRDefault="00233AC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6065A8" w:rsidRDefault="006065A8" w:rsidP="006065A8">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lastRenderedPageBreak/>
        <w:t>This instruction should be followed by Instruction 3.07 (Substantial Factor) and Instruction 16.07 (Defamation – Damages).</w:t>
      </w:r>
    </w:p>
    <w:p w:rsidR="006065A8" w:rsidRDefault="006065A8"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3E4656" w:rsidRPr="00D75A99" w:rsidRDefault="003E4656"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jc w:val="center"/>
        <w:rPr>
          <w:u w:val="single"/>
        </w:rPr>
      </w:pPr>
      <w:r w:rsidRPr="00D75A99">
        <w:rPr>
          <w:u w:val="single"/>
        </w:rPr>
        <w:t>Comment</w:t>
      </w:r>
    </w:p>
    <w:p w:rsidR="003E4656" w:rsidRDefault="003E4656"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AF2DEA" w:rsidRPr="006A064D" w:rsidRDefault="00AF2DEA"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rsidRPr="006A064D">
        <w:t>According to the Alaska Supreme Court, the elements of defamation are:</w:t>
      </w:r>
    </w:p>
    <w:p w:rsidR="00AF2DEA" w:rsidRPr="006A064D" w:rsidRDefault="00AF2DEA"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AF2DEA" w:rsidRDefault="00AF2DEA"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720" w:right="720" w:firstLine="0"/>
        <w:rPr>
          <w:i/>
        </w:rPr>
      </w:pPr>
      <w:r w:rsidRPr="006A064D">
        <w:t xml:space="preserve">‘(1) a false and defamatory statement; (2) an unprivileged publication to a third party; (3) fault amounting at least to negligence on the part of the publisher; and (4) the existence </w:t>
      </w:r>
      <w:r w:rsidR="00927A38">
        <w:t>of either ‘per</w:t>
      </w:r>
      <w:r w:rsidRPr="006A064D">
        <w:t xml:space="preserve"> se’ actionability or special harm.’ It is also ‘necessary that the recipient of the defamatory communication understand it as intended to refer to the plaintiff.’            </w:t>
      </w:r>
    </w:p>
    <w:p w:rsidR="00AF2DEA" w:rsidRDefault="00AF2DEA"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rPr>
          <w:i/>
        </w:rPr>
      </w:pPr>
    </w:p>
    <w:p w:rsidR="00AF2DEA" w:rsidRDefault="00AF2DEA"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rPr>
          <w:i/>
        </w:rPr>
        <w:t xml:space="preserve">MacDonald v. Riggs, </w:t>
      </w:r>
      <w:r w:rsidRPr="00116DB2">
        <w:t>166 P.3d 12, 15 (Alaska 2007)</w:t>
      </w:r>
      <w:r>
        <w:t xml:space="preserve"> </w:t>
      </w:r>
      <w:r w:rsidRPr="00613C56">
        <w:t>quoting</w:t>
      </w:r>
      <w:r>
        <w:rPr>
          <w:i/>
        </w:rPr>
        <w:t xml:space="preserve"> French v. Jadon, Inc.</w:t>
      </w:r>
      <w:r>
        <w:t xml:space="preserve">, 911 P.2d 20, 32 (Alaska 1996) and </w:t>
      </w:r>
      <w:r>
        <w:rPr>
          <w:i/>
        </w:rPr>
        <w:t xml:space="preserve">Restatement (Second) of Torts </w:t>
      </w:r>
      <w:r w:rsidRPr="003811DE">
        <w:t xml:space="preserve">sec. 564 cmt. </w:t>
      </w:r>
      <w:r>
        <w:t>a</w:t>
      </w:r>
      <w:r w:rsidRPr="003811DE">
        <w:t xml:space="preserve"> (1977).</w:t>
      </w:r>
    </w:p>
    <w:p w:rsidR="00666E0D" w:rsidRDefault="00666E0D"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076BAE" w:rsidRDefault="00076BAE"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The Alaska Supreme Court has never defined “special harm.” But the Restatement defines it as “the loss of something having economic o</w:t>
      </w:r>
      <w:r w:rsidR="005217C6">
        <w:t>r</w:t>
      </w:r>
      <w:r>
        <w:t xml:space="preserve"> pecuniary value.” </w:t>
      </w:r>
      <w:r>
        <w:rPr>
          <w:i/>
        </w:rPr>
        <w:t>Restatement (Second) of Torts</w:t>
      </w:r>
      <w:r>
        <w:t xml:space="preserve"> sec. 575 cmt. b (1977).</w:t>
      </w:r>
    </w:p>
    <w:p w:rsidR="00076BAE" w:rsidRDefault="00076BAE" w:rsidP="00AF2DEA">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C213CC" w:rsidRDefault="00666E0D"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 xml:space="preserve">The </w:t>
      </w:r>
      <w:r w:rsidR="00076BAE">
        <w:t>third</w:t>
      </w:r>
      <w:r>
        <w:t xml:space="preserve"> element, which defines “defamatory,” was used in </w:t>
      </w:r>
      <w:r>
        <w:rPr>
          <w:i/>
        </w:rPr>
        <w:t>Green v. Northern Pub. Co.,</w:t>
      </w:r>
      <w:r>
        <w:t xml:space="preserve"> 655 P.2d 736, 739 (Alaska 1982); </w:t>
      </w:r>
      <w:r>
        <w:rPr>
          <w:i/>
        </w:rPr>
        <w:t>Olivit v. City &amp; Borough of Juneau,</w:t>
      </w:r>
      <w:r>
        <w:t xml:space="preserve"> 171 P.3d 1137, 1142 (Alaska 2007); and </w:t>
      </w:r>
      <w:r>
        <w:rPr>
          <w:i/>
        </w:rPr>
        <w:t>State v. Carpenter</w:t>
      </w:r>
      <w:r>
        <w:t>, 171 P.3d 41, 51 (Alaska 2007).</w:t>
      </w:r>
    </w:p>
    <w:p w:rsidR="00983DCD" w:rsidRDefault="00983DCD"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p w:rsidR="00147BDD" w:rsidRDefault="0095417B"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r>
        <w:t>The actual malice standa</w:t>
      </w:r>
      <w:r w:rsidR="00147BDD">
        <w:t xml:space="preserve">rd </w:t>
      </w:r>
      <w:r w:rsidR="00613C56">
        <w:t xml:space="preserve">reflected in the seventh element of this instruction </w:t>
      </w:r>
      <w:r w:rsidR="00147BDD">
        <w:t>governs defamation claims involving public figures or ma</w:t>
      </w:r>
      <w:r w:rsidR="003D6906">
        <w:t xml:space="preserve">tters of public concern.  </w:t>
      </w:r>
      <w:r w:rsidR="005E4BF0" w:rsidRPr="00A43A78">
        <w:rPr>
          <w:i/>
        </w:rPr>
        <w:t>Olivit</w:t>
      </w:r>
      <w:r w:rsidR="005E4BF0">
        <w:t xml:space="preserve">, 171 P.3d </w:t>
      </w:r>
      <w:r w:rsidR="000F5B6B">
        <w:t>at</w:t>
      </w:r>
      <w:r w:rsidR="005E4BF0">
        <w:t xml:space="preserve"> </w:t>
      </w:r>
      <w:r w:rsidR="000F5B6B">
        <w:t xml:space="preserve">1143 </w:t>
      </w:r>
      <w:r w:rsidR="005E4BF0">
        <w:t xml:space="preserve">(matters of public interest); </w:t>
      </w:r>
      <w:r w:rsidR="005E4BF0">
        <w:rPr>
          <w:i/>
        </w:rPr>
        <w:t>Lowell v. Hayes</w:t>
      </w:r>
      <w:r w:rsidR="005E4BF0">
        <w:t xml:space="preserve">, 117 P.3d 745 (Alaska 2005) (public figure); </w:t>
      </w:r>
      <w:r w:rsidR="003D6906">
        <w:rPr>
          <w:i/>
        </w:rPr>
        <w:t>Mt. Juneau Enterprises, Inc. v. Juneau Empire</w:t>
      </w:r>
      <w:r w:rsidR="003D6906">
        <w:t>, 891 P.2d 829, 837-38 (Alaska 1995)</w:t>
      </w:r>
      <w:r w:rsidR="002934AC">
        <w:t xml:space="preserve"> (“[P]</w:t>
      </w:r>
      <w:r w:rsidR="00EE0B71">
        <w:t>laintiff in a defamation case must present</w:t>
      </w:r>
      <w:r w:rsidR="003852DC">
        <w:t xml:space="preserve"> </w:t>
      </w:r>
      <w:r w:rsidR="00EE0B71">
        <w:t>sufficient evidence to permit the conclusion</w:t>
      </w:r>
      <w:r w:rsidR="003852DC">
        <w:t xml:space="preserve"> that the defendant in fact entertained serious doubts as to the truth of his publication</w:t>
      </w:r>
      <w:r w:rsidR="002934AC">
        <w:t>.</w:t>
      </w:r>
      <w:r w:rsidR="003852DC">
        <w:t>”</w:t>
      </w:r>
      <w:r w:rsidR="009B0463">
        <w:t xml:space="preserve"> </w:t>
      </w:r>
      <w:r w:rsidR="009B0463">
        <w:rPr>
          <w:i/>
        </w:rPr>
        <w:t>Id.</w:t>
      </w:r>
      <w:r w:rsidR="00AF2DEA">
        <w:t xml:space="preserve"> a</w:t>
      </w:r>
      <w:r w:rsidR="009B0463">
        <w:t>t 838</w:t>
      </w:r>
      <w:r w:rsidR="00AF2DEA">
        <w:t>).</w:t>
      </w:r>
      <w:r w:rsidR="003D6906">
        <w:t xml:space="preserve"> </w:t>
      </w:r>
      <w:r w:rsidR="00C735CF">
        <w:t xml:space="preserve"> </w:t>
      </w:r>
    </w:p>
    <w:p w:rsidR="00A83919" w:rsidRPr="003D6906" w:rsidRDefault="00A83919" w:rsidP="003E4656">
      <w:pPr>
        <w:pStyle w:val="BodyTextInden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ind w:left="0" w:firstLine="0"/>
      </w:pPr>
    </w:p>
    <w:sectPr w:rsidR="00A83919" w:rsidRPr="003D6906" w:rsidSect="00D75A99">
      <w:headerReference w:type="default" r:id="rId8"/>
      <w:footerReference w:type="default" r:id="rId9"/>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2C" w:rsidRDefault="009B592C">
      <w:r>
        <w:separator/>
      </w:r>
    </w:p>
  </w:endnote>
  <w:endnote w:type="continuationSeparator" w:id="0">
    <w:p w:rsidR="009B592C" w:rsidRDefault="009B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D2" w:rsidRDefault="00D75A99" w:rsidP="00D75A99">
    <w:pPr>
      <w:pStyle w:val="Footer"/>
      <w:tabs>
        <w:tab w:val="clear" w:pos="4320"/>
        <w:tab w:val="clear" w:pos="8640"/>
        <w:tab w:val="right" w:pos="9360"/>
      </w:tabs>
      <w:rPr>
        <w:rFonts w:ascii="Bookman Old Style" w:hAnsi="Bookman Old Style" w:cs="Bookman Old Style"/>
        <w:sz w:val="26"/>
        <w:szCs w:val="26"/>
      </w:rPr>
    </w:pPr>
    <w:r>
      <w:rPr>
        <w:rFonts w:ascii="Bookman Old Style" w:hAnsi="Bookman Old Style" w:cs="Bookman Old Style"/>
        <w:sz w:val="26"/>
        <w:szCs w:val="26"/>
      </w:rPr>
      <w:t>2011</w:t>
    </w:r>
    <w:r w:rsidR="00AF2DEA">
      <w:rPr>
        <w:rFonts w:ascii="Bookman Old Style" w:hAnsi="Bookman Old Style" w:cs="Bookman Old Style"/>
        <w:sz w:val="26"/>
        <w:szCs w:val="26"/>
      </w:rPr>
      <w:tab/>
      <w:t>16.04</w:t>
    </w:r>
    <w:r w:rsidR="000A67D2">
      <w:rPr>
        <w:rFonts w:ascii="Bookman Old Style" w:hAnsi="Bookman Old Style" w:cs="Bookman Old Style"/>
        <w:sz w:val="26"/>
        <w:szCs w:val="26"/>
      </w:rPr>
      <w:t xml:space="preserve"> - </w:t>
    </w:r>
    <w:r w:rsidR="000A67D2">
      <w:rPr>
        <w:rStyle w:val="PageNumber"/>
        <w:rFonts w:ascii="Bookman Old Style" w:hAnsi="Bookman Old Style" w:cs="Bookman Old Style"/>
        <w:sz w:val="26"/>
        <w:szCs w:val="26"/>
      </w:rPr>
      <w:fldChar w:fldCharType="begin"/>
    </w:r>
    <w:r w:rsidR="000A67D2">
      <w:rPr>
        <w:rStyle w:val="PageNumber"/>
        <w:rFonts w:ascii="Bookman Old Style" w:hAnsi="Bookman Old Style" w:cs="Bookman Old Style"/>
        <w:sz w:val="26"/>
        <w:szCs w:val="26"/>
      </w:rPr>
      <w:instrText xml:space="preserve"> PAGE </w:instrText>
    </w:r>
    <w:r w:rsidR="000A67D2">
      <w:rPr>
        <w:rStyle w:val="PageNumber"/>
        <w:rFonts w:ascii="Bookman Old Style" w:hAnsi="Bookman Old Style" w:cs="Bookman Old Style"/>
        <w:sz w:val="26"/>
        <w:szCs w:val="26"/>
      </w:rPr>
      <w:fldChar w:fldCharType="separate"/>
    </w:r>
    <w:r w:rsidR="009B5E0A">
      <w:rPr>
        <w:rStyle w:val="PageNumber"/>
        <w:rFonts w:ascii="Bookman Old Style" w:hAnsi="Bookman Old Style" w:cs="Bookman Old Style"/>
        <w:noProof/>
        <w:sz w:val="26"/>
        <w:szCs w:val="26"/>
      </w:rPr>
      <w:t>1</w:t>
    </w:r>
    <w:r w:rsidR="000A67D2">
      <w:rPr>
        <w:rStyle w:val="PageNumber"/>
        <w:rFonts w:ascii="Bookman Old Style" w:hAnsi="Bookman Old Style" w:cs="Bookman Old Style"/>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2C" w:rsidRDefault="009B592C">
      <w:r>
        <w:separator/>
      </w:r>
    </w:p>
  </w:footnote>
  <w:footnote w:type="continuationSeparator" w:id="0">
    <w:p w:rsidR="009B592C" w:rsidRDefault="009B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7D2" w:rsidRDefault="000A67D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ascii="Bookman Old Style" w:hAnsi="Bookman Old Style" w:cs="Bookman Old Style"/>
        <w:snapToGrid w:val="0"/>
        <w:vanish/>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A3CB9"/>
    <w:multiLevelType w:val="hybridMultilevel"/>
    <w:tmpl w:val="F81620AC"/>
    <w:lvl w:ilvl="0" w:tplc="B69ABA42">
      <w:start w:val="4"/>
      <w:numFmt w:val="decimal"/>
      <w:lvlText w:val="(%1)"/>
      <w:lvlJc w:val="left"/>
      <w:pPr>
        <w:tabs>
          <w:tab w:val="num" w:pos="720"/>
        </w:tabs>
        <w:ind w:left="720" w:hanging="360"/>
      </w:pPr>
      <w:rPr>
        <w:rFonts w:cs="Bookman Old Style"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6AB605D7"/>
    <w:multiLevelType w:val="hybridMultilevel"/>
    <w:tmpl w:val="5C302E4C"/>
    <w:lvl w:ilvl="0" w:tplc="98E0372E">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720A2CBE"/>
    <w:multiLevelType w:val="hybridMultilevel"/>
    <w:tmpl w:val="2B4A332C"/>
    <w:lvl w:ilvl="0" w:tplc="42A4E516">
      <w:start w:val="4"/>
      <w:numFmt w:val="decimal"/>
      <w:lvlText w:val="(%1)"/>
      <w:lvlJc w:val="left"/>
      <w:pPr>
        <w:tabs>
          <w:tab w:val="num" w:pos="720"/>
        </w:tabs>
        <w:ind w:left="720" w:hanging="360"/>
      </w:pPr>
      <w:rPr>
        <w:rFonts w:cs="Bookman Old Style"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91"/>
    <w:rsid w:val="00076BAE"/>
    <w:rsid w:val="0008195F"/>
    <w:rsid w:val="0008557E"/>
    <w:rsid w:val="000A33C2"/>
    <w:rsid w:val="000A67D2"/>
    <w:rsid w:val="000F5B6B"/>
    <w:rsid w:val="00116DB2"/>
    <w:rsid w:val="00147BDD"/>
    <w:rsid w:val="0016032E"/>
    <w:rsid w:val="00166D0A"/>
    <w:rsid w:val="001751CB"/>
    <w:rsid w:val="001B475C"/>
    <w:rsid w:val="00233AC8"/>
    <w:rsid w:val="00250380"/>
    <w:rsid w:val="00291232"/>
    <w:rsid w:val="002934AC"/>
    <w:rsid w:val="002979A2"/>
    <w:rsid w:val="002C2C20"/>
    <w:rsid w:val="002F0BFF"/>
    <w:rsid w:val="0030328A"/>
    <w:rsid w:val="00362A09"/>
    <w:rsid w:val="003811DE"/>
    <w:rsid w:val="003852DC"/>
    <w:rsid w:val="00395FB8"/>
    <w:rsid w:val="003B1E91"/>
    <w:rsid w:val="003B62A8"/>
    <w:rsid w:val="003C1A9C"/>
    <w:rsid w:val="003D6906"/>
    <w:rsid w:val="003E4656"/>
    <w:rsid w:val="003F00BD"/>
    <w:rsid w:val="00440329"/>
    <w:rsid w:val="004C74E2"/>
    <w:rsid w:val="004E08B5"/>
    <w:rsid w:val="005217C6"/>
    <w:rsid w:val="005E4BF0"/>
    <w:rsid w:val="005F1FB2"/>
    <w:rsid w:val="006034FB"/>
    <w:rsid w:val="006065A8"/>
    <w:rsid w:val="00613C56"/>
    <w:rsid w:val="006215EA"/>
    <w:rsid w:val="0066561C"/>
    <w:rsid w:val="00666E0D"/>
    <w:rsid w:val="00690E9A"/>
    <w:rsid w:val="006A064D"/>
    <w:rsid w:val="006D48C0"/>
    <w:rsid w:val="00735BD0"/>
    <w:rsid w:val="00806C37"/>
    <w:rsid w:val="008C49B6"/>
    <w:rsid w:val="00927A38"/>
    <w:rsid w:val="0095417B"/>
    <w:rsid w:val="0096180C"/>
    <w:rsid w:val="00983DCD"/>
    <w:rsid w:val="00991843"/>
    <w:rsid w:val="009A3464"/>
    <w:rsid w:val="009B0463"/>
    <w:rsid w:val="009B592C"/>
    <w:rsid w:val="009B5E0A"/>
    <w:rsid w:val="009E0DAD"/>
    <w:rsid w:val="009E6D38"/>
    <w:rsid w:val="00A43A78"/>
    <w:rsid w:val="00A83919"/>
    <w:rsid w:val="00AA46A9"/>
    <w:rsid w:val="00AA48E0"/>
    <w:rsid w:val="00AF2DEA"/>
    <w:rsid w:val="00B14D48"/>
    <w:rsid w:val="00B72319"/>
    <w:rsid w:val="00B97D97"/>
    <w:rsid w:val="00BB28A6"/>
    <w:rsid w:val="00BC6FC4"/>
    <w:rsid w:val="00BF110E"/>
    <w:rsid w:val="00C213CC"/>
    <w:rsid w:val="00C735CF"/>
    <w:rsid w:val="00CD0CE5"/>
    <w:rsid w:val="00CF1A58"/>
    <w:rsid w:val="00CF4AD4"/>
    <w:rsid w:val="00D3544F"/>
    <w:rsid w:val="00D75A99"/>
    <w:rsid w:val="00DC0D34"/>
    <w:rsid w:val="00DF450C"/>
    <w:rsid w:val="00E24321"/>
    <w:rsid w:val="00E301BE"/>
    <w:rsid w:val="00E34977"/>
    <w:rsid w:val="00EC15FD"/>
    <w:rsid w:val="00EE0B71"/>
    <w:rsid w:val="00F62D16"/>
    <w:rsid w:val="00F70134"/>
    <w:rsid w:val="00F964B1"/>
    <w:rsid w:val="00FA1B9F"/>
    <w:rsid w:val="00FA6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tabs>
        <w:tab w:val="left" w:pos="864"/>
      </w:tabs>
      <w:spacing w:line="360" w:lineRule="auto"/>
      <w:ind w:left="1584" w:hanging="864"/>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styleId="BodyText">
    <w:name w:val="Body Text"/>
    <w:basedOn w:val="Normal"/>
    <w:link w:val="BodyTextChar"/>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Bookman Old Style" w:hAnsi="Bookman Old Style" w:cs="Bookman Old Style"/>
      <w:vanish/>
      <w:sz w:val="26"/>
      <w:szCs w:val="26"/>
    </w:rPr>
  </w:style>
  <w:style w:type="character" w:customStyle="1" w:styleId="BodyTextChar">
    <w:name w:val="Body Text Char"/>
    <w:link w:val="BodyText"/>
    <w:uiPriority w:val="99"/>
    <w:semiHidden/>
    <w:rPr>
      <w:sz w:val="20"/>
      <w:szCs w:val="20"/>
    </w:rPr>
  </w:style>
  <w:style w:type="paragraph" w:styleId="BodyText2">
    <w:name w:val="Body Text 2"/>
    <w:basedOn w:val="Normal"/>
    <w:link w:val="BodyText2Char"/>
    <w:uiPriority w:val="99"/>
    <w:pPr>
      <w:tabs>
        <w:tab w:val="left" w:pos="-1440"/>
        <w:tab w:val="left" w:pos="-720"/>
      </w:tabs>
      <w:spacing w:line="360" w:lineRule="auto"/>
      <w:jc w:val="both"/>
    </w:pPr>
    <w:rPr>
      <w:rFonts w:ascii="Bookman Old Style" w:hAnsi="Bookman Old Style" w:cs="Bookman Old Style"/>
      <w:sz w:val="26"/>
      <w:szCs w:val="26"/>
    </w:rPr>
  </w:style>
  <w:style w:type="character" w:customStyle="1" w:styleId="BodyText2Char">
    <w:name w:val="Body Text 2 Char"/>
    <w:link w:val="BodyText2"/>
    <w:uiPriority w:val="99"/>
    <w:semiHidden/>
    <w:rPr>
      <w:sz w:val="20"/>
      <w:szCs w:val="20"/>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2160" w:hanging="2160"/>
      <w:jc w:val="both"/>
    </w:pPr>
    <w:rPr>
      <w:rFonts w:ascii="Bookman Old Style" w:hAnsi="Bookman Old Style" w:cs="Bookman Old Style"/>
      <w:sz w:val="26"/>
      <w:szCs w:val="26"/>
    </w:r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tabs>
        <w:tab w:val="left" w:pos="864"/>
      </w:tabs>
      <w:spacing w:line="360" w:lineRule="auto"/>
      <w:ind w:left="1584" w:hanging="864"/>
      <w:jc w:val="both"/>
    </w:pPr>
    <w:rPr>
      <w:rFonts w:ascii="Bookman Old Style" w:hAnsi="Bookman Old Style" w:cs="Bookman Old Style"/>
      <w:sz w:val="26"/>
      <w:szCs w:val="26"/>
    </w:rPr>
  </w:style>
  <w:style w:type="character" w:customStyle="1" w:styleId="BodyTextIndent3Char">
    <w:name w:val="Body Text Indent 3 Char"/>
    <w:link w:val="BodyTextIndent3"/>
    <w:uiPriority w:val="99"/>
    <w:semiHidden/>
    <w:rPr>
      <w:sz w:val="16"/>
      <w:szCs w:val="16"/>
    </w:rPr>
  </w:style>
  <w:style w:type="character" w:styleId="PageNumber">
    <w:name w:val="page number"/>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style>
  <w:style w:type="paragraph" w:styleId="Heading1">
    <w:name w:val="heading 1"/>
    <w:basedOn w:val="Normal"/>
    <w:next w:val="Normal"/>
    <w:link w:val="Heading1Char"/>
    <w:uiPriority w:val="99"/>
    <w:qFormat/>
    <w:pPr>
      <w:keepNext/>
      <w:tabs>
        <w:tab w:val="left" w:pos="864"/>
      </w:tabs>
      <w:spacing w:line="360" w:lineRule="auto"/>
      <w:ind w:left="1584" w:hanging="864"/>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Pr>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Pr>
      <w:sz w:val="20"/>
      <w:szCs w:val="20"/>
    </w:rPr>
  </w:style>
  <w:style w:type="paragraph" w:styleId="BodyText">
    <w:name w:val="Body Text"/>
    <w:basedOn w:val="Normal"/>
    <w:link w:val="BodyTextChar"/>
    <w:uiPriority w:val="9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pPr>
    <w:rPr>
      <w:rFonts w:ascii="Bookman Old Style" w:hAnsi="Bookman Old Style" w:cs="Bookman Old Style"/>
      <w:vanish/>
      <w:sz w:val="26"/>
      <w:szCs w:val="26"/>
    </w:rPr>
  </w:style>
  <w:style w:type="character" w:customStyle="1" w:styleId="BodyTextChar">
    <w:name w:val="Body Text Char"/>
    <w:link w:val="BodyText"/>
    <w:uiPriority w:val="99"/>
    <w:semiHidden/>
    <w:rPr>
      <w:sz w:val="20"/>
      <w:szCs w:val="20"/>
    </w:rPr>
  </w:style>
  <w:style w:type="paragraph" w:styleId="BodyText2">
    <w:name w:val="Body Text 2"/>
    <w:basedOn w:val="Normal"/>
    <w:link w:val="BodyText2Char"/>
    <w:uiPriority w:val="99"/>
    <w:pPr>
      <w:tabs>
        <w:tab w:val="left" w:pos="-1440"/>
        <w:tab w:val="left" w:pos="-720"/>
      </w:tabs>
      <w:spacing w:line="360" w:lineRule="auto"/>
      <w:jc w:val="both"/>
    </w:pPr>
    <w:rPr>
      <w:rFonts w:ascii="Bookman Old Style" w:hAnsi="Bookman Old Style" w:cs="Bookman Old Style"/>
      <w:sz w:val="26"/>
      <w:szCs w:val="26"/>
    </w:rPr>
  </w:style>
  <w:style w:type="character" w:customStyle="1" w:styleId="BodyText2Char">
    <w:name w:val="Body Text 2 Char"/>
    <w:link w:val="BodyText2"/>
    <w:uiPriority w:val="99"/>
    <w:semiHidden/>
    <w:rPr>
      <w:sz w:val="20"/>
      <w:szCs w:val="20"/>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2160" w:hanging="2160"/>
      <w:jc w:val="both"/>
    </w:pPr>
    <w:rPr>
      <w:rFonts w:ascii="Bookman Old Style" w:hAnsi="Bookman Old Style" w:cs="Bookman Old Style"/>
      <w:sz w:val="26"/>
      <w:szCs w:val="26"/>
    </w:rPr>
  </w:style>
  <w:style w:type="character" w:customStyle="1" w:styleId="BodyTextIndent2Char">
    <w:name w:val="Body Text Indent 2 Char"/>
    <w:link w:val="BodyTextIndent2"/>
    <w:uiPriority w:val="99"/>
    <w:semiHidden/>
    <w:rPr>
      <w:sz w:val="20"/>
      <w:szCs w:val="20"/>
    </w:rPr>
  </w:style>
  <w:style w:type="paragraph" w:styleId="BodyTextIndent3">
    <w:name w:val="Body Text Indent 3"/>
    <w:basedOn w:val="Normal"/>
    <w:link w:val="BodyTextIndent3Char"/>
    <w:uiPriority w:val="99"/>
    <w:pPr>
      <w:tabs>
        <w:tab w:val="left" w:pos="864"/>
      </w:tabs>
      <w:spacing w:line="360" w:lineRule="auto"/>
      <w:ind w:left="1584" w:hanging="864"/>
      <w:jc w:val="both"/>
    </w:pPr>
    <w:rPr>
      <w:rFonts w:ascii="Bookman Old Style" w:hAnsi="Bookman Old Style" w:cs="Bookman Old Style"/>
      <w:sz w:val="26"/>
      <w:szCs w:val="26"/>
    </w:rPr>
  </w:style>
  <w:style w:type="character" w:customStyle="1" w:styleId="BodyTextIndent3Char">
    <w:name w:val="Body Text Indent 3 Char"/>
    <w:link w:val="BodyTextIndent3"/>
    <w:uiPriority w:val="99"/>
    <w:semiHidden/>
    <w:rPr>
      <w:sz w:val="16"/>
      <w:szCs w:val="16"/>
    </w:rPr>
  </w:style>
  <w:style w:type="character" w:styleId="PageNumber">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cp:lastPrinted>2011-01-20T01:41:00Z</cp:lastPrinted>
  <dcterms:created xsi:type="dcterms:W3CDTF">2017-04-04T18:50:00Z</dcterms:created>
  <dcterms:modified xsi:type="dcterms:W3CDTF">2017-04-04T18:50:00Z</dcterms:modified>
  <cp:category> </cp:category>
</cp:coreProperties>
</file>