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F6" w:rsidRPr="00982D3C" w:rsidRDefault="00106465" w:rsidP="00982D3C">
      <w:pPr>
        <w:numPr>
          <w:ilvl w:val="1"/>
          <w:numId w:val="1"/>
        </w:numPr>
        <w:spacing w:line="360" w:lineRule="auto"/>
        <w:rPr>
          <w:rFonts w:ascii="Bookman Old Style" w:hAnsi="Bookman Old Style"/>
          <w:b/>
          <w:szCs w:val="26"/>
        </w:rPr>
      </w:pPr>
      <w:bookmarkStart w:id="0" w:name="_GoBack"/>
      <w:bookmarkEnd w:id="0"/>
      <w:r w:rsidRPr="00982D3C">
        <w:rPr>
          <w:rFonts w:ascii="Bookman Old Style" w:hAnsi="Bookman Old Style"/>
          <w:b/>
          <w:szCs w:val="26"/>
        </w:rPr>
        <w:t>NONDISCLOSURE</w:t>
      </w:r>
    </w:p>
    <w:p w:rsidR="00D76D9E" w:rsidRPr="00982D3C" w:rsidRDefault="00D76D9E" w:rsidP="00982D3C">
      <w:pPr>
        <w:spacing w:line="360" w:lineRule="auto"/>
        <w:rPr>
          <w:rFonts w:ascii="Bookman Old Style" w:hAnsi="Bookman Old Style"/>
          <w:b/>
          <w:szCs w:val="26"/>
        </w:rPr>
      </w:pPr>
    </w:p>
    <w:p w:rsidR="00D76DFA" w:rsidRPr="00982D3C" w:rsidRDefault="009F4CFD" w:rsidP="00540DA4">
      <w:pPr>
        <w:spacing w:line="360" w:lineRule="auto"/>
        <w:jc w:val="both"/>
        <w:rPr>
          <w:rFonts w:ascii="Bookman Old Style" w:hAnsi="Bookman Old Style"/>
          <w:szCs w:val="26"/>
        </w:rPr>
      </w:pPr>
      <w:r w:rsidRPr="00982D3C">
        <w:rPr>
          <w:rFonts w:ascii="Bookman Old Style" w:hAnsi="Bookman Old Style"/>
          <w:szCs w:val="26"/>
        </w:rPr>
        <w:t>The plaintiff alleges that [</w:t>
      </w:r>
      <w:r w:rsidR="00D76DFA" w:rsidRPr="00982D3C">
        <w:rPr>
          <w:rFonts w:ascii="Bookman Old Style" w:hAnsi="Bookman Old Style"/>
          <w:szCs w:val="26"/>
        </w:rPr>
        <w:t>he</w:t>
      </w:r>
      <w:r w:rsidRPr="00982D3C">
        <w:rPr>
          <w:rFonts w:ascii="Bookman Old Style" w:hAnsi="Bookman Old Style"/>
          <w:szCs w:val="26"/>
        </w:rPr>
        <w:t>][she]</w:t>
      </w:r>
      <w:r w:rsidR="00D76DFA" w:rsidRPr="00982D3C">
        <w:rPr>
          <w:rFonts w:ascii="Bookman Old Style" w:hAnsi="Bookman Old Style"/>
          <w:szCs w:val="26"/>
        </w:rPr>
        <w:t xml:space="preserve"> was harmed because </w:t>
      </w:r>
      <w:r w:rsidRPr="00982D3C">
        <w:rPr>
          <w:rFonts w:ascii="Bookman Old Style" w:hAnsi="Bookman Old Style"/>
          <w:szCs w:val="26"/>
        </w:rPr>
        <w:t xml:space="preserve">the </w:t>
      </w:r>
      <w:r w:rsidR="00D76DFA" w:rsidRPr="00982D3C">
        <w:rPr>
          <w:rFonts w:ascii="Bookman Old Style" w:hAnsi="Bookman Old Style"/>
          <w:szCs w:val="26"/>
        </w:rPr>
        <w:t>defendant failed to disclose information</w:t>
      </w:r>
      <w:r w:rsidR="00685857" w:rsidRPr="00982D3C">
        <w:rPr>
          <w:rFonts w:ascii="Bookman Old Style" w:hAnsi="Bookman Old Style"/>
          <w:szCs w:val="26"/>
        </w:rPr>
        <w:t xml:space="preserve"> related</w:t>
      </w:r>
      <w:r w:rsidR="003D1872" w:rsidRPr="00982D3C">
        <w:rPr>
          <w:rFonts w:ascii="Bookman Old Style" w:hAnsi="Bookman Old Style"/>
          <w:szCs w:val="26"/>
        </w:rPr>
        <w:t xml:space="preserve"> to a transaction</w:t>
      </w:r>
      <w:r w:rsidR="00D76DFA" w:rsidRPr="00982D3C">
        <w:rPr>
          <w:rFonts w:ascii="Bookman Old Style" w:hAnsi="Bookman Old Style"/>
          <w:szCs w:val="26"/>
        </w:rPr>
        <w:t xml:space="preserve">.  To win on this claim, </w:t>
      </w:r>
      <w:r w:rsidRPr="00982D3C">
        <w:rPr>
          <w:rFonts w:ascii="Bookman Old Style" w:hAnsi="Bookman Old Style"/>
          <w:szCs w:val="26"/>
        </w:rPr>
        <w:t xml:space="preserve">the </w:t>
      </w:r>
      <w:r w:rsidR="00D76DFA" w:rsidRPr="00982D3C">
        <w:rPr>
          <w:rFonts w:ascii="Bookman Old Style" w:hAnsi="Bookman Old Style"/>
          <w:szCs w:val="26"/>
        </w:rPr>
        <w:t>plaintiff must prove it is more likely true than not true that:</w:t>
      </w:r>
    </w:p>
    <w:p w:rsidR="00540DA4" w:rsidRDefault="00540DA4" w:rsidP="00540DA4">
      <w:pPr>
        <w:spacing w:line="360" w:lineRule="auto"/>
        <w:ind w:left="720" w:hanging="720"/>
        <w:jc w:val="both"/>
        <w:rPr>
          <w:rFonts w:ascii="Bookman Old Style" w:hAnsi="Bookman Old Style"/>
          <w:szCs w:val="26"/>
        </w:rPr>
      </w:pPr>
    </w:p>
    <w:p w:rsidR="009B75CC" w:rsidRPr="00982D3C" w:rsidRDefault="009B75CC" w:rsidP="00540DA4">
      <w:pPr>
        <w:spacing w:line="360" w:lineRule="auto"/>
        <w:ind w:left="720" w:hanging="720"/>
        <w:jc w:val="both"/>
        <w:rPr>
          <w:rFonts w:ascii="Bookman Old Style" w:hAnsi="Bookman Old Style"/>
          <w:szCs w:val="26"/>
        </w:rPr>
      </w:pPr>
      <w:r w:rsidRPr="00982D3C">
        <w:rPr>
          <w:rFonts w:ascii="Bookman Old Style" w:hAnsi="Bookman Old Style"/>
          <w:szCs w:val="26"/>
        </w:rPr>
        <w:t>(1)</w:t>
      </w:r>
      <w:r w:rsidRPr="00982D3C">
        <w:rPr>
          <w:rFonts w:ascii="Bookman Old Style" w:hAnsi="Bookman Old Style"/>
          <w:szCs w:val="26"/>
        </w:rPr>
        <w:tab/>
        <w:t>the defendant had a duty to disclose information to the plaintiff</w:t>
      </w:r>
      <w:r w:rsidR="00232C4B" w:rsidRPr="00982D3C">
        <w:rPr>
          <w:rFonts w:ascii="Bookman Old Style" w:hAnsi="Bookman Old Style"/>
          <w:szCs w:val="26"/>
        </w:rPr>
        <w:t xml:space="preserve"> regarding the transaction</w:t>
      </w:r>
      <w:r w:rsidRPr="00982D3C">
        <w:rPr>
          <w:rFonts w:ascii="Bookman Old Style" w:hAnsi="Bookman Old Style"/>
          <w:szCs w:val="26"/>
        </w:rPr>
        <w:t>;</w:t>
      </w:r>
    </w:p>
    <w:p w:rsidR="00540DA4" w:rsidRDefault="00540DA4" w:rsidP="00540DA4">
      <w:pPr>
        <w:spacing w:line="360" w:lineRule="auto"/>
        <w:ind w:left="720" w:hanging="720"/>
        <w:jc w:val="both"/>
        <w:rPr>
          <w:rFonts w:ascii="Bookman Old Style" w:hAnsi="Bookman Old Style"/>
          <w:szCs w:val="26"/>
        </w:rPr>
      </w:pPr>
    </w:p>
    <w:p w:rsidR="00C31A8D" w:rsidRPr="00982D3C" w:rsidRDefault="003559F4" w:rsidP="00540DA4">
      <w:pPr>
        <w:spacing w:line="360" w:lineRule="auto"/>
        <w:ind w:left="720" w:hanging="720"/>
        <w:jc w:val="both"/>
        <w:rPr>
          <w:rFonts w:ascii="Bookman Old Style" w:hAnsi="Bookman Old Style"/>
          <w:szCs w:val="26"/>
        </w:rPr>
      </w:pPr>
      <w:r w:rsidRPr="00982D3C">
        <w:rPr>
          <w:rFonts w:ascii="Bookman Old Style" w:hAnsi="Bookman Old Style"/>
          <w:szCs w:val="26"/>
        </w:rPr>
        <w:t>(</w:t>
      </w:r>
      <w:r w:rsidR="00232C4B" w:rsidRPr="00982D3C">
        <w:rPr>
          <w:rFonts w:ascii="Bookman Old Style" w:hAnsi="Bookman Old Style"/>
          <w:szCs w:val="26"/>
        </w:rPr>
        <w:t>2</w:t>
      </w:r>
      <w:r w:rsidRPr="00982D3C">
        <w:rPr>
          <w:rFonts w:ascii="Bookman Old Style" w:hAnsi="Bookman Old Style"/>
          <w:szCs w:val="26"/>
        </w:rPr>
        <w:t>)</w:t>
      </w:r>
      <w:r w:rsidR="00C31A8D" w:rsidRPr="00982D3C">
        <w:rPr>
          <w:rFonts w:ascii="Bookman Old Style" w:hAnsi="Bookman Old Style"/>
          <w:szCs w:val="26"/>
        </w:rPr>
        <w:tab/>
        <w:t>the defendant failed to</w:t>
      </w:r>
      <w:r w:rsidR="005C5FE6" w:rsidRPr="00982D3C">
        <w:rPr>
          <w:rFonts w:ascii="Bookman Old Style" w:hAnsi="Bookman Old Style"/>
          <w:szCs w:val="26"/>
        </w:rPr>
        <w:t xml:space="preserve"> </w:t>
      </w:r>
      <w:r w:rsidR="00E3464B" w:rsidRPr="00982D3C">
        <w:rPr>
          <w:rFonts w:ascii="Bookman Old Style" w:hAnsi="Bookman Old Style"/>
          <w:szCs w:val="26"/>
        </w:rPr>
        <w:t xml:space="preserve">take reasonable steps </w:t>
      </w:r>
      <w:r w:rsidR="005C5FE6" w:rsidRPr="00982D3C">
        <w:rPr>
          <w:rFonts w:ascii="Bookman Old Style" w:hAnsi="Bookman Old Style"/>
          <w:szCs w:val="26"/>
        </w:rPr>
        <w:t>to</w:t>
      </w:r>
      <w:r w:rsidR="00C31A8D" w:rsidRPr="00982D3C">
        <w:rPr>
          <w:rFonts w:ascii="Bookman Old Style" w:hAnsi="Bookman Old Style"/>
          <w:szCs w:val="26"/>
        </w:rPr>
        <w:t xml:space="preserve"> disclose </w:t>
      </w:r>
      <w:r w:rsidR="00452015" w:rsidRPr="00982D3C">
        <w:rPr>
          <w:rFonts w:ascii="Bookman Old Style" w:hAnsi="Bookman Old Style"/>
          <w:szCs w:val="26"/>
        </w:rPr>
        <w:t xml:space="preserve">this </w:t>
      </w:r>
      <w:r w:rsidR="003D1872" w:rsidRPr="00982D3C">
        <w:rPr>
          <w:rFonts w:ascii="Bookman Old Style" w:hAnsi="Bookman Old Style"/>
          <w:szCs w:val="26"/>
        </w:rPr>
        <w:t xml:space="preserve">information </w:t>
      </w:r>
      <w:r w:rsidR="00C31A8D" w:rsidRPr="00982D3C">
        <w:rPr>
          <w:rFonts w:ascii="Bookman Old Style" w:hAnsi="Bookman Old Style"/>
          <w:szCs w:val="26"/>
        </w:rPr>
        <w:t>to the plaintiff</w:t>
      </w:r>
      <w:r w:rsidR="0075002D" w:rsidRPr="00982D3C">
        <w:rPr>
          <w:rFonts w:ascii="Bookman Old Style" w:hAnsi="Bookman Old Style"/>
          <w:szCs w:val="26"/>
        </w:rPr>
        <w:t>;</w:t>
      </w:r>
    </w:p>
    <w:p w:rsidR="00540DA4" w:rsidRDefault="00540DA4" w:rsidP="00540DA4">
      <w:pPr>
        <w:spacing w:line="360" w:lineRule="auto"/>
        <w:ind w:left="720" w:hanging="720"/>
        <w:jc w:val="both"/>
        <w:rPr>
          <w:rFonts w:ascii="Bookman Old Style" w:hAnsi="Bookman Old Style"/>
          <w:szCs w:val="26"/>
        </w:rPr>
      </w:pPr>
    </w:p>
    <w:p w:rsidR="00664FC6" w:rsidRPr="00982D3C" w:rsidRDefault="003559F4" w:rsidP="00540DA4">
      <w:pPr>
        <w:spacing w:line="360" w:lineRule="auto"/>
        <w:ind w:left="720" w:hanging="720"/>
        <w:jc w:val="both"/>
        <w:rPr>
          <w:rFonts w:ascii="Bookman Old Style" w:hAnsi="Bookman Old Style"/>
          <w:szCs w:val="26"/>
        </w:rPr>
      </w:pPr>
      <w:r w:rsidRPr="00982D3C">
        <w:rPr>
          <w:rFonts w:ascii="Bookman Old Style" w:hAnsi="Bookman Old Style"/>
          <w:szCs w:val="26"/>
        </w:rPr>
        <w:t>(</w:t>
      </w:r>
      <w:r w:rsidR="00232C4B" w:rsidRPr="00982D3C">
        <w:rPr>
          <w:rFonts w:ascii="Bookman Old Style" w:hAnsi="Bookman Old Style"/>
          <w:szCs w:val="26"/>
        </w:rPr>
        <w:t>3</w:t>
      </w:r>
      <w:r w:rsidRPr="00982D3C">
        <w:rPr>
          <w:rFonts w:ascii="Bookman Old Style" w:hAnsi="Bookman Old Style"/>
          <w:szCs w:val="26"/>
        </w:rPr>
        <w:t>)</w:t>
      </w:r>
      <w:r w:rsidR="003D1872" w:rsidRPr="00982D3C">
        <w:rPr>
          <w:rFonts w:ascii="Bookman Old Style" w:hAnsi="Bookman Old Style"/>
          <w:szCs w:val="26"/>
        </w:rPr>
        <w:tab/>
      </w:r>
      <w:r w:rsidR="00452015" w:rsidRPr="00982D3C">
        <w:rPr>
          <w:rFonts w:ascii="Bookman Old Style" w:hAnsi="Bookman Old Style"/>
          <w:szCs w:val="26"/>
        </w:rPr>
        <w:t xml:space="preserve">the </w:t>
      </w:r>
      <w:r w:rsidR="003D1872" w:rsidRPr="00982D3C">
        <w:rPr>
          <w:rFonts w:ascii="Bookman Old Style" w:hAnsi="Bookman Old Style"/>
          <w:szCs w:val="26"/>
        </w:rPr>
        <w:t xml:space="preserve">information </w:t>
      </w:r>
      <w:r w:rsidR="00664FC6" w:rsidRPr="00982D3C">
        <w:rPr>
          <w:rFonts w:ascii="Bookman Old Style" w:hAnsi="Bookman Old Style"/>
          <w:szCs w:val="26"/>
        </w:rPr>
        <w:t>was known to the defendant before the trans</w:t>
      </w:r>
      <w:r w:rsidR="003D1872" w:rsidRPr="00982D3C">
        <w:rPr>
          <w:rFonts w:ascii="Bookman Old Style" w:hAnsi="Bookman Old Style"/>
          <w:szCs w:val="26"/>
        </w:rPr>
        <w:t>a</w:t>
      </w:r>
      <w:r w:rsidR="0075002D" w:rsidRPr="00982D3C">
        <w:rPr>
          <w:rFonts w:ascii="Bookman Old Style" w:hAnsi="Bookman Old Style"/>
          <w:szCs w:val="26"/>
        </w:rPr>
        <w:t xml:space="preserve">ction was </w:t>
      </w:r>
      <w:r w:rsidR="00664FC6" w:rsidRPr="00982D3C">
        <w:rPr>
          <w:rFonts w:ascii="Bookman Old Style" w:hAnsi="Bookman Old Style"/>
          <w:szCs w:val="26"/>
        </w:rPr>
        <w:t>completed</w:t>
      </w:r>
      <w:r w:rsidR="0075002D" w:rsidRPr="00982D3C">
        <w:rPr>
          <w:rFonts w:ascii="Bookman Old Style" w:hAnsi="Bookman Old Style"/>
          <w:szCs w:val="26"/>
        </w:rPr>
        <w:t>;</w:t>
      </w:r>
    </w:p>
    <w:p w:rsidR="00540DA4" w:rsidRDefault="00540DA4" w:rsidP="00540DA4">
      <w:pPr>
        <w:spacing w:line="360" w:lineRule="auto"/>
        <w:ind w:left="720" w:hanging="720"/>
        <w:jc w:val="both"/>
        <w:rPr>
          <w:rFonts w:ascii="Bookman Old Style" w:hAnsi="Bookman Old Style"/>
          <w:szCs w:val="26"/>
        </w:rPr>
      </w:pPr>
    </w:p>
    <w:p w:rsidR="00F144F9" w:rsidRPr="00982D3C" w:rsidRDefault="00F144F9" w:rsidP="00540DA4">
      <w:pPr>
        <w:spacing w:line="360" w:lineRule="auto"/>
        <w:ind w:left="720" w:hanging="720"/>
        <w:jc w:val="both"/>
        <w:rPr>
          <w:rFonts w:ascii="Bookman Old Style" w:hAnsi="Bookman Old Style"/>
          <w:szCs w:val="26"/>
        </w:rPr>
      </w:pPr>
      <w:r w:rsidRPr="00982D3C">
        <w:rPr>
          <w:rFonts w:ascii="Bookman Old Style" w:hAnsi="Bookman Old Style"/>
          <w:szCs w:val="26"/>
        </w:rPr>
        <w:t>(4)</w:t>
      </w:r>
      <w:r w:rsidRPr="00982D3C">
        <w:rPr>
          <w:rFonts w:ascii="Bookman Old Style" w:hAnsi="Bookman Old Style"/>
          <w:szCs w:val="26"/>
        </w:rPr>
        <w:tab/>
        <w:t xml:space="preserve">the defendant knew that the information could affect the plaintiff’s decision  about the transaction;  </w:t>
      </w:r>
    </w:p>
    <w:p w:rsidR="00540DA4" w:rsidRDefault="00540DA4" w:rsidP="00540DA4">
      <w:pPr>
        <w:spacing w:line="360" w:lineRule="auto"/>
        <w:ind w:left="720" w:hanging="720"/>
        <w:jc w:val="both"/>
        <w:rPr>
          <w:rFonts w:ascii="Bookman Old Style" w:hAnsi="Bookman Old Style"/>
          <w:szCs w:val="26"/>
        </w:rPr>
      </w:pPr>
    </w:p>
    <w:p w:rsidR="002620CF" w:rsidRPr="00982D3C" w:rsidRDefault="003559F4" w:rsidP="00540DA4">
      <w:pPr>
        <w:spacing w:line="360" w:lineRule="auto"/>
        <w:ind w:left="720" w:hanging="720"/>
        <w:jc w:val="both"/>
        <w:rPr>
          <w:rFonts w:ascii="Bookman Old Style" w:hAnsi="Bookman Old Style"/>
          <w:szCs w:val="26"/>
        </w:rPr>
      </w:pPr>
      <w:r w:rsidRPr="00982D3C">
        <w:rPr>
          <w:rFonts w:ascii="Bookman Old Style" w:hAnsi="Bookman Old Style"/>
          <w:szCs w:val="26"/>
        </w:rPr>
        <w:t>(</w:t>
      </w:r>
      <w:r w:rsidR="002620CF" w:rsidRPr="00982D3C">
        <w:rPr>
          <w:rFonts w:ascii="Bookman Old Style" w:hAnsi="Bookman Old Style"/>
          <w:szCs w:val="26"/>
        </w:rPr>
        <w:t>5)</w:t>
      </w:r>
      <w:r w:rsidR="002620CF" w:rsidRPr="00982D3C">
        <w:rPr>
          <w:rFonts w:ascii="Bookman Old Style" w:hAnsi="Bookman Old Style"/>
          <w:szCs w:val="26"/>
        </w:rPr>
        <w:tab/>
      </w:r>
      <w:r w:rsidR="00B1753D" w:rsidRPr="00982D3C">
        <w:rPr>
          <w:rFonts w:ascii="Bookman Old Style" w:hAnsi="Bookman Old Style"/>
          <w:szCs w:val="26"/>
        </w:rPr>
        <w:t xml:space="preserve">the plaintiff </w:t>
      </w:r>
      <w:r w:rsidR="00D81083" w:rsidRPr="00982D3C">
        <w:rPr>
          <w:rFonts w:ascii="Bookman Old Style" w:hAnsi="Bookman Old Style"/>
          <w:szCs w:val="26"/>
        </w:rPr>
        <w:t xml:space="preserve">justifiably relied on </w:t>
      </w:r>
      <w:r w:rsidR="002620CF" w:rsidRPr="00982D3C">
        <w:rPr>
          <w:rFonts w:ascii="Bookman Old Style" w:hAnsi="Bookman Old Style"/>
          <w:szCs w:val="26"/>
        </w:rPr>
        <w:t>an understanding of the transaction that was based on the absence of the information;</w:t>
      </w:r>
    </w:p>
    <w:p w:rsidR="00540DA4" w:rsidRDefault="00540DA4" w:rsidP="00540DA4">
      <w:pPr>
        <w:spacing w:line="360" w:lineRule="auto"/>
        <w:jc w:val="both"/>
        <w:rPr>
          <w:rFonts w:ascii="Bookman Old Style" w:hAnsi="Bookman Old Style"/>
          <w:szCs w:val="26"/>
        </w:rPr>
      </w:pPr>
    </w:p>
    <w:p w:rsidR="00685857" w:rsidRPr="00982D3C" w:rsidRDefault="003559F4" w:rsidP="00540DA4">
      <w:pPr>
        <w:spacing w:line="360" w:lineRule="auto"/>
        <w:jc w:val="both"/>
        <w:rPr>
          <w:rFonts w:ascii="Bookman Old Style" w:hAnsi="Bookman Old Style"/>
          <w:szCs w:val="26"/>
        </w:rPr>
      </w:pPr>
      <w:r w:rsidRPr="00982D3C">
        <w:rPr>
          <w:rFonts w:ascii="Bookman Old Style" w:hAnsi="Bookman Old Style"/>
          <w:szCs w:val="26"/>
        </w:rPr>
        <w:t>(</w:t>
      </w:r>
      <w:r w:rsidR="002620CF" w:rsidRPr="00982D3C">
        <w:rPr>
          <w:rFonts w:ascii="Bookman Old Style" w:hAnsi="Bookman Old Style"/>
          <w:szCs w:val="26"/>
        </w:rPr>
        <w:t>6</w:t>
      </w:r>
      <w:r w:rsidRPr="00982D3C">
        <w:rPr>
          <w:rFonts w:ascii="Bookman Old Style" w:hAnsi="Bookman Old Style"/>
          <w:szCs w:val="26"/>
        </w:rPr>
        <w:t>)</w:t>
      </w:r>
      <w:r w:rsidR="00685857" w:rsidRPr="00982D3C">
        <w:rPr>
          <w:rFonts w:ascii="Bookman Old Style" w:hAnsi="Bookman Old Style"/>
          <w:szCs w:val="26"/>
        </w:rPr>
        <w:tab/>
      </w:r>
      <w:r w:rsidR="0075002D" w:rsidRPr="00982D3C">
        <w:rPr>
          <w:rFonts w:ascii="Bookman Old Style" w:hAnsi="Bookman Old Style"/>
          <w:szCs w:val="26"/>
        </w:rPr>
        <w:t>t</w:t>
      </w:r>
      <w:r w:rsidR="00AD009F" w:rsidRPr="00982D3C">
        <w:rPr>
          <w:rFonts w:ascii="Bookman Old Style" w:hAnsi="Bookman Old Style"/>
          <w:szCs w:val="26"/>
        </w:rPr>
        <w:t>he plaintiff suffered a monetary loss</w:t>
      </w:r>
      <w:r w:rsidR="00685857" w:rsidRPr="00982D3C">
        <w:rPr>
          <w:rFonts w:ascii="Bookman Old Style" w:hAnsi="Bookman Old Style"/>
          <w:szCs w:val="26"/>
        </w:rPr>
        <w:t>;</w:t>
      </w:r>
      <w:r w:rsidR="00106465" w:rsidRPr="00982D3C">
        <w:rPr>
          <w:rFonts w:ascii="Bookman Old Style" w:hAnsi="Bookman Old Style"/>
          <w:szCs w:val="26"/>
        </w:rPr>
        <w:t xml:space="preserve"> and</w:t>
      </w:r>
    </w:p>
    <w:p w:rsidR="00540DA4" w:rsidRDefault="00540DA4" w:rsidP="00540DA4">
      <w:pPr>
        <w:spacing w:line="360" w:lineRule="auto"/>
        <w:ind w:left="720" w:hanging="720"/>
        <w:jc w:val="both"/>
        <w:rPr>
          <w:rFonts w:ascii="Bookman Old Style" w:hAnsi="Bookman Old Style"/>
          <w:szCs w:val="26"/>
        </w:rPr>
      </w:pPr>
    </w:p>
    <w:p w:rsidR="00D76D9E" w:rsidRPr="00982D3C" w:rsidRDefault="003559F4" w:rsidP="00540DA4">
      <w:pPr>
        <w:spacing w:line="360" w:lineRule="auto"/>
        <w:ind w:left="720" w:hanging="720"/>
        <w:jc w:val="both"/>
        <w:rPr>
          <w:rFonts w:ascii="Bookman Old Style" w:hAnsi="Bookman Old Style"/>
          <w:szCs w:val="26"/>
        </w:rPr>
      </w:pPr>
      <w:r w:rsidRPr="00982D3C">
        <w:rPr>
          <w:rFonts w:ascii="Bookman Old Style" w:hAnsi="Bookman Old Style"/>
          <w:szCs w:val="26"/>
        </w:rPr>
        <w:t>(</w:t>
      </w:r>
      <w:r w:rsidR="002620CF" w:rsidRPr="00982D3C">
        <w:rPr>
          <w:rFonts w:ascii="Bookman Old Style" w:hAnsi="Bookman Old Style"/>
          <w:szCs w:val="26"/>
        </w:rPr>
        <w:t>7</w:t>
      </w:r>
      <w:r w:rsidRPr="00982D3C">
        <w:rPr>
          <w:rFonts w:ascii="Bookman Old Style" w:hAnsi="Bookman Old Style"/>
          <w:szCs w:val="26"/>
        </w:rPr>
        <w:t>)</w:t>
      </w:r>
      <w:r w:rsidR="00685857" w:rsidRPr="00982D3C">
        <w:rPr>
          <w:rFonts w:ascii="Bookman Old Style" w:hAnsi="Bookman Old Style"/>
          <w:szCs w:val="26"/>
        </w:rPr>
        <w:tab/>
      </w:r>
      <w:r w:rsidR="0075002D" w:rsidRPr="00982D3C">
        <w:rPr>
          <w:rFonts w:ascii="Bookman Old Style" w:hAnsi="Bookman Old Style"/>
          <w:szCs w:val="26"/>
        </w:rPr>
        <w:t>t</w:t>
      </w:r>
      <w:r w:rsidR="00685857" w:rsidRPr="00982D3C">
        <w:rPr>
          <w:rFonts w:ascii="Bookman Old Style" w:hAnsi="Bookman Old Style"/>
          <w:szCs w:val="26"/>
        </w:rPr>
        <w:t xml:space="preserve">he defendant’s </w:t>
      </w:r>
      <w:r w:rsidR="00911B7F" w:rsidRPr="00982D3C">
        <w:rPr>
          <w:rFonts w:ascii="Bookman Old Style" w:hAnsi="Bookman Old Style"/>
          <w:szCs w:val="26"/>
        </w:rPr>
        <w:t>failure to disclose</w:t>
      </w:r>
      <w:r w:rsidR="00B82C36" w:rsidRPr="00982D3C">
        <w:rPr>
          <w:rFonts w:ascii="Bookman Old Style" w:hAnsi="Bookman Old Style"/>
          <w:szCs w:val="26"/>
        </w:rPr>
        <w:t xml:space="preserve"> the information </w:t>
      </w:r>
      <w:r w:rsidR="00685857" w:rsidRPr="00982D3C">
        <w:rPr>
          <w:rFonts w:ascii="Bookman Old Style" w:hAnsi="Bookman Old Style"/>
          <w:szCs w:val="26"/>
        </w:rPr>
        <w:t xml:space="preserve">was a substantial factor in causing </w:t>
      </w:r>
      <w:r w:rsidR="002620CF" w:rsidRPr="00982D3C">
        <w:rPr>
          <w:rFonts w:ascii="Bookman Old Style" w:hAnsi="Bookman Old Style"/>
          <w:szCs w:val="26"/>
        </w:rPr>
        <w:t xml:space="preserve">the plaintiff’s </w:t>
      </w:r>
      <w:r w:rsidR="00AD009F" w:rsidRPr="00982D3C">
        <w:rPr>
          <w:rFonts w:ascii="Bookman Old Style" w:hAnsi="Bookman Old Style"/>
          <w:szCs w:val="26"/>
        </w:rPr>
        <w:t>loss</w:t>
      </w:r>
      <w:r w:rsidR="00585FE5" w:rsidRPr="00982D3C">
        <w:rPr>
          <w:rFonts w:ascii="Bookman Old Style" w:hAnsi="Bookman Old Style"/>
          <w:szCs w:val="26"/>
        </w:rPr>
        <w:t>.</w:t>
      </w:r>
    </w:p>
    <w:p w:rsidR="000155E0" w:rsidRDefault="000155E0" w:rsidP="002771BA">
      <w:pPr>
        <w:ind w:left="720" w:hanging="720"/>
        <w:jc w:val="both"/>
        <w:rPr>
          <w:rFonts w:ascii="Bookman Old Style" w:hAnsi="Bookman Old Style"/>
          <w:szCs w:val="26"/>
        </w:rPr>
      </w:pPr>
    </w:p>
    <w:p w:rsidR="00982D3C" w:rsidRPr="00982D3C" w:rsidRDefault="00982D3C" w:rsidP="00982D3C">
      <w:pPr>
        <w:ind w:left="720" w:hanging="720"/>
        <w:jc w:val="both"/>
        <w:rPr>
          <w:rFonts w:ascii="Bookman Old Style" w:hAnsi="Bookman Old Style"/>
          <w:szCs w:val="26"/>
        </w:rPr>
      </w:pPr>
    </w:p>
    <w:p w:rsidR="00540DA4" w:rsidRDefault="00540DA4" w:rsidP="00982D3C">
      <w:pPr>
        <w:jc w:val="center"/>
        <w:rPr>
          <w:rFonts w:ascii="Bookman Old Style" w:hAnsi="Bookman Old Style"/>
          <w:szCs w:val="26"/>
          <w:u w:val="single"/>
        </w:rPr>
      </w:pPr>
    </w:p>
    <w:p w:rsidR="00540DA4" w:rsidRDefault="00540DA4" w:rsidP="00982D3C">
      <w:pPr>
        <w:jc w:val="center"/>
        <w:rPr>
          <w:rFonts w:ascii="Bookman Old Style" w:hAnsi="Bookman Old Style"/>
          <w:szCs w:val="26"/>
          <w:u w:val="single"/>
        </w:rPr>
      </w:pPr>
    </w:p>
    <w:p w:rsidR="00106465" w:rsidRDefault="00982D3C" w:rsidP="00982D3C">
      <w:pPr>
        <w:jc w:val="center"/>
        <w:rPr>
          <w:rFonts w:ascii="Bookman Old Style" w:hAnsi="Bookman Old Style"/>
          <w:szCs w:val="26"/>
          <w:u w:val="single"/>
        </w:rPr>
      </w:pPr>
      <w:r>
        <w:rPr>
          <w:rFonts w:ascii="Bookman Old Style" w:hAnsi="Bookman Old Style"/>
          <w:szCs w:val="26"/>
          <w:u w:val="single"/>
        </w:rPr>
        <w:lastRenderedPageBreak/>
        <w:t>Use Note</w:t>
      </w:r>
    </w:p>
    <w:p w:rsidR="00982D3C" w:rsidRPr="00982D3C" w:rsidRDefault="00982D3C" w:rsidP="00982D3C">
      <w:pPr>
        <w:jc w:val="center"/>
        <w:rPr>
          <w:rFonts w:ascii="Bookman Old Style" w:hAnsi="Bookman Old Style"/>
          <w:szCs w:val="26"/>
          <w:u w:val="single"/>
        </w:rPr>
      </w:pPr>
    </w:p>
    <w:p w:rsidR="00106465" w:rsidRPr="00982D3C" w:rsidRDefault="00B82C36" w:rsidP="00982D3C">
      <w:pPr>
        <w:jc w:val="both"/>
        <w:rPr>
          <w:rFonts w:ascii="Bookman Old Style" w:hAnsi="Bookman Old Style"/>
          <w:szCs w:val="26"/>
        </w:rPr>
      </w:pPr>
      <w:r w:rsidRPr="00982D3C">
        <w:rPr>
          <w:rFonts w:ascii="Bookman Old Style" w:hAnsi="Bookman Old Style"/>
          <w:szCs w:val="26"/>
        </w:rPr>
        <w:t>I</w:t>
      </w:r>
      <w:r w:rsidR="00106465" w:rsidRPr="00982D3C">
        <w:rPr>
          <w:rFonts w:ascii="Bookman Old Style" w:hAnsi="Bookman Old Style"/>
          <w:szCs w:val="26"/>
        </w:rPr>
        <w:t>n</w:t>
      </w:r>
      <w:r w:rsidR="00633D0F" w:rsidRPr="00982D3C">
        <w:rPr>
          <w:rFonts w:ascii="Bookman Old Style" w:hAnsi="Bookman Old Style"/>
          <w:szCs w:val="26"/>
        </w:rPr>
        <w:t>struction</w:t>
      </w:r>
      <w:r w:rsidRPr="00982D3C">
        <w:rPr>
          <w:rFonts w:ascii="Bookman Old Style" w:hAnsi="Bookman Old Style"/>
          <w:szCs w:val="26"/>
        </w:rPr>
        <w:t>s</w:t>
      </w:r>
      <w:r w:rsidR="00633D0F" w:rsidRPr="00982D3C">
        <w:rPr>
          <w:rFonts w:ascii="Bookman Old Style" w:hAnsi="Bookman Old Style"/>
          <w:szCs w:val="26"/>
        </w:rPr>
        <w:t xml:space="preserve"> 17.07</w:t>
      </w:r>
      <w:r w:rsidR="00106465" w:rsidRPr="00982D3C">
        <w:rPr>
          <w:rFonts w:ascii="Bookman Old Style" w:hAnsi="Bookman Old Style"/>
          <w:szCs w:val="26"/>
        </w:rPr>
        <w:t xml:space="preserve"> (Duty to Disclose)</w:t>
      </w:r>
      <w:r w:rsidR="00A7515F" w:rsidRPr="00982D3C">
        <w:rPr>
          <w:rFonts w:ascii="Bookman Old Style" w:hAnsi="Bookman Old Style"/>
          <w:szCs w:val="26"/>
        </w:rPr>
        <w:t>,</w:t>
      </w:r>
      <w:r w:rsidR="008869B3">
        <w:rPr>
          <w:rFonts w:ascii="Bookman Old Style" w:hAnsi="Bookman Old Style"/>
          <w:szCs w:val="26"/>
        </w:rPr>
        <w:t xml:space="preserve"> </w:t>
      </w:r>
      <w:r w:rsidR="00106465" w:rsidRPr="00982D3C">
        <w:rPr>
          <w:rFonts w:ascii="Bookman Old Style" w:hAnsi="Bookman Old Style"/>
          <w:szCs w:val="26"/>
        </w:rPr>
        <w:t>17.03 (Justifiable Re</w:t>
      </w:r>
      <w:r w:rsidR="00633D0F" w:rsidRPr="00982D3C">
        <w:rPr>
          <w:rFonts w:ascii="Bookman Old Style" w:hAnsi="Bookman Old Style"/>
          <w:szCs w:val="26"/>
        </w:rPr>
        <w:t xml:space="preserve">liance) </w:t>
      </w:r>
      <w:r w:rsidRPr="00982D3C">
        <w:rPr>
          <w:rFonts w:ascii="Bookman Old Style" w:hAnsi="Bookman Old Style"/>
          <w:szCs w:val="26"/>
        </w:rPr>
        <w:t xml:space="preserve">and </w:t>
      </w:r>
      <w:r w:rsidR="00EC37DA" w:rsidRPr="00982D3C">
        <w:rPr>
          <w:rFonts w:ascii="Bookman Old Style" w:hAnsi="Bookman Old Style"/>
          <w:szCs w:val="26"/>
        </w:rPr>
        <w:t>3.07</w:t>
      </w:r>
      <w:r w:rsidRPr="00982D3C">
        <w:rPr>
          <w:rFonts w:ascii="Bookman Old Style" w:hAnsi="Bookman Old Style"/>
          <w:szCs w:val="26"/>
        </w:rPr>
        <w:t xml:space="preserve"> [Substantial Factor] must be given </w:t>
      </w:r>
      <w:r w:rsidR="00633D0F" w:rsidRPr="00982D3C">
        <w:rPr>
          <w:rFonts w:ascii="Bookman Old Style" w:hAnsi="Bookman Old Style"/>
          <w:szCs w:val="26"/>
        </w:rPr>
        <w:t>with this instruction.</w:t>
      </w:r>
      <w:r w:rsidR="00AD009F" w:rsidRPr="00982D3C">
        <w:rPr>
          <w:rFonts w:ascii="Bookman Old Style" w:hAnsi="Bookman Old Style"/>
          <w:szCs w:val="26"/>
        </w:rPr>
        <w:t xml:space="preserve"> If it is appropriate to instruct the jury on nominal damages, see 24.11 (Nominal Damages).</w:t>
      </w:r>
    </w:p>
    <w:p w:rsidR="00C47E5F" w:rsidRPr="00982D3C" w:rsidRDefault="00C47E5F" w:rsidP="00982D3C">
      <w:pPr>
        <w:rPr>
          <w:rFonts w:ascii="Bookman Old Style" w:hAnsi="Bookman Old Style"/>
          <w:szCs w:val="26"/>
        </w:rPr>
      </w:pPr>
    </w:p>
    <w:p w:rsidR="000155E0" w:rsidRPr="00982D3C" w:rsidRDefault="000155E0" w:rsidP="00982D3C">
      <w:pPr>
        <w:jc w:val="center"/>
        <w:rPr>
          <w:rFonts w:ascii="Bookman Old Style" w:hAnsi="Bookman Old Style"/>
          <w:b/>
          <w:szCs w:val="26"/>
        </w:rPr>
      </w:pPr>
    </w:p>
    <w:p w:rsidR="00C47E5F" w:rsidRDefault="00982D3C" w:rsidP="00982D3C">
      <w:pPr>
        <w:jc w:val="center"/>
        <w:rPr>
          <w:rFonts w:ascii="Bookman Old Style" w:hAnsi="Bookman Old Style"/>
          <w:szCs w:val="26"/>
          <w:u w:val="single"/>
        </w:rPr>
      </w:pPr>
      <w:r>
        <w:rPr>
          <w:rFonts w:ascii="Bookman Old Style" w:hAnsi="Bookman Old Style"/>
          <w:szCs w:val="26"/>
          <w:u w:val="single"/>
        </w:rPr>
        <w:t>Comment</w:t>
      </w:r>
    </w:p>
    <w:p w:rsidR="00982D3C" w:rsidRPr="00982D3C" w:rsidRDefault="00982D3C" w:rsidP="00982D3C">
      <w:pPr>
        <w:jc w:val="center"/>
        <w:rPr>
          <w:rFonts w:ascii="Bookman Old Style" w:hAnsi="Bookman Old Style"/>
          <w:szCs w:val="26"/>
          <w:u w:val="single"/>
        </w:rPr>
      </w:pPr>
    </w:p>
    <w:p w:rsidR="00EC37DA" w:rsidRPr="00982D3C" w:rsidRDefault="00C47E5F" w:rsidP="00982D3C">
      <w:pPr>
        <w:jc w:val="both"/>
        <w:rPr>
          <w:rFonts w:ascii="Bookman Old Style" w:hAnsi="Bookman Old Style"/>
          <w:szCs w:val="26"/>
        </w:rPr>
      </w:pPr>
      <w:r w:rsidRPr="00982D3C">
        <w:rPr>
          <w:rFonts w:ascii="Bookman Old Style" w:hAnsi="Bookman Old Style"/>
          <w:szCs w:val="26"/>
        </w:rPr>
        <w:t xml:space="preserve">This </w:t>
      </w:r>
      <w:r w:rsidR="005D59B5" w:rsidRPr="00982D3C">
        <w:rPr>
          <w:rFonts w:ascii="Bookman Old Style" w:hAnsi="Bookman Old Style"/>
          <w:szCs w:val="26"/>
        </w:rPr>
        <w:t xml:space="preserve">instruction is based on </w:t>
      </w:r>
      <w:r w:rsidRPr="00982D3C">
        <w:rPr>
          <w:rFonts w:ascii="Bookman Old Style" w:hAnsi="Bookman Old Style"/>
          <w:szCs w:val="26"/>
        </w:rPr>
        <w:t>the Restatement (Second) of Torts §</w:t>
      </w:r>
      <w:r w:rsidR="0075002D" w:rsidRPr="00982D3C">
        <w:rPr>
          <w:rFonts w:ascii="Bookman Old Style" w:hAnsi="Bookman Old Style"/>
          <w:szCs w:val="26"/>
        </w:rPr>
        <w:t xml:space="preserve"> </w:t>
      </w:r>
      <w:r w:rsidRPr="00982D3C">
        <w:rPr>
          <w:rFonts w:ascii="Bookman Old Style" w:hAnsi="Bookman Old Style"/>
          <w:szCs w:val="26"/>
        </w:rPr>
        <w:t>551</w:t>
      </w:r>
      <w:r w:rsidR="004B71AA" w:rsidRPr="00982D3C">
        <w:rPr>
          <w:rFonts w:ascii="Bookman Old Style" w:hAnsi="Bookman Old Style"/>
          <w:szCs w:val="26"/>
        </w:rPr>
        <w:t xml:space="preserve">.  This provision of the Restatement recognizes an action for nondisclosure </w:t>
      </w:r>
      <w:r w:rsidR="00722075" w:rsidRPr="00982D3C">
        <w:rPr>
          <w:rFonts w:ascii="Bookman Old Style" w:hAnsi="Bookman Old Style"/>
          <w:szCs w:val="26"/>
        </w:rPr>
        <w:t xml:space="preserve">on the same basis as liability for an affirmative false statement </w:t>
      </w:r>
      <w:r w:rsidR="004B71AA" w:rsidRPr="00982D3C">
        <w:rPr>
          <w:rFonts w:ascii="Bookman Old Style" w:hAnsi="Bookman Old Style"/>
          <w:szCs w:val="26"/>
        </w:rPr>
        <w:t xml:space="preserve">if </w:t>
      </w:r>
      <w:r w:rsidR="00722075" w:rsidRPr="00982D3C">
        <w:rPr>
          <w:rFonts w:ascii="Bookman Old Style" w:hAnsi="Bookman Old Style"/>
          <w:szCs w:val="26"/>
        </w:rPr>
        <w:t xml:space="preserve">1) </w:t>
      </w:r>
      <w:r w:rsidR="004B71AA" w:rsidRPr="00982D3C">
        <w:rPr>
          <w:rFonts w:ascii="Bookman Old Style" w:hAnsi="Bookman Old Style"/>
          <w:szCs w:val="26"/>
        </w:rPr>
        <w:t>the defendant has a duty to exercise reasonable care to disclose the matter</w:t>
      </w:r>
      <w:r w:rsidR="00722075" w:rsidRPr="00982D3C">
        <w:rPr>
          <w:rFonts w:ascii="Bookman Old Style" w:hAnsi="Bookman Old Style"/>
          <w:szCs w:val="26"/>
        </w:rPr>
        <w:t>;</w:t>
      </w:r>
      <w:r w:rsidR="004B71AA" w:rsidRPr="00982D3C">
        <w:rPr>
          <w:rFonts w:ascii="Bookman Old Style" w:hAnsi="Bookman Old Style"/>
          <w:szCs w:val="26"/>
        </w:rPr>
        <w:t xml:space="preserve"> </w:t>
      </w:r>
      <w:r w:rsidR="00722075" w:rsidRPr="00982D3C">
        <w:rPr>
          <w:rFonts w:ascii="Bookman Old Style" w:hAnsi="Bookman Old Style"/>
          <w:szCs w:val="26"/>
        </w:rPr>
        <w:t xml:space="preserve">and 2) </w:t>
      </w:r>
      <w:r w:rsidR="004B71AA" w:rsidRPr="00982D3C">
        <w:rPr>
          <w:rFonts w:ascii="Bookman Old Style" w:hAnsi="Bookman Old Style"/>
          <w:szCs w:val="26"/>
        </w:rPr>
        <w:t>the defendant kn</w:t>
      </w:r>
      <w:r w:rsidR="00176794" w:rsidRPr="00982D3C">
        <w:rPr>
          <w:rFonts w:ascii="Bookman Old Style" w:hAnsi="Bookman Old Style"/>
          <w:szCs w:val="26"/>
        </w:rPr>
        <w:t>o</w:t>
      </w:r>
      <w:r w:rsidR="004B71AA" w:rsidRPr="00982D3C">
        <w:rPr>
          <w:rFonts w:ascii="Bookman Old Style" w:hAnsi="Bookman Old Style"/>
          <w:szCs w:val="26"/>
        </w:rPr>
        <w:t xml:space="preserve">ws that the undisclosed fact may justifiably induce the plaintiff to act or fail to act.  </w:t>
      </w:r>
      <w:r w:rsidR="00722075" w:rsidRPr="00982D3C">
        <w:rPr>
          <w:rFonts w:ascii="Bookman Old Style" w:hAnsi="Bookman Old Style"/>
          <w:szCs w:val="26"/>
        </w:rPr>
        <w:t xml:space="preserve">Alaska cases following Restatement § 551 include </w:t>
      </w:r>
      <w:r w:rsidR="00EC37DA" w:rsidRPr="00982D3C">
        <w:rPr>
          <w:rFonts w:ascii="Bookman Old Style" w:hAnsi="Bookman Old Style"/>
          <w:i/>
          <w:szCs w:val="26"/>
        </w:rPr>
        <w:t>Deptula v. Simpson</w:t>
      </w:r>
      <w:r w:rsidR="00EC37DA" w:rsidRPr="00982D3C">
        <w:rPr>
          <w:rFonts w:ascii="Bookman Old Style" w:hAnsi="Bookman Old Style"/>
          <w:szCs w:val="26"/>
        </w:rPr>
        <w:t xml:space="preserve">, 164 P.3d 640, 645-46 (Alaska 2007); </w:t>
      </w:r>
      <w:r w:rsidR="00EC37DA" w:rsidRPr="00982D3C">
        <w:rPr>
          <w:rFonts w:ascii="Bookman Old Style" w:hAnsi="Bookman Old Style"/>
          <w:i/>
          <w:szCs w:val="26"/>
        </w:rPr>
        <w:t>Arctic Tug &amp; Barge Inc. v. Raleigh</w:t>
      </w:r>
      <w:r w:rsidR="00EC37DA" w:rsidRPr="00982D3C">
        <w:rPr>
          <w:rFonts w:ascii="Bookman Old Style" w:hAnsi="Bookman Old Style"/>
          <w:szCs w:val="26"/>
        </w:rPr>
        <w:t xml:space="preserve">, </w:t>
      </w:r>
      <w:r w:rsidR="00EC37DA" w:rsidRPr="00982D3C">
        <w:rPr>
          <w:rFonts w:ascii="Bookman Old Style" w:hAnsi="Bookman Old Style"/>
          <w:i/>
          <w:szCs w:val="26"/>
        </w:rPr>
        <w:t>Schwarz &amp; Powell</w:t>
      </w:r>
      <w:r w:rsidR="00EC37DA" w:rsidRPr="00982D3C">
        <w:rPr>
          <w:rFonts w:ascii="Bookman Old Style" w:hAnsi="Bookman Old Style"/>
          <w:szCs w:val="26"/>
        </w:rPr>
        <w:t xml:space="preserve">, 956 P.2d 199, 202 (Alaska 1998); </w:t>
      </w:r>
      <w:r w:rsidR="00EC37DA" w:rsidRPr="00982D3C">
        <w:rPr>
          <w:rFonts w:ascii="Bookman Old Style" w:hAnsi="Bookman Old Style"/>
          <w:i/>
          <w:szCs w:val="26"/>
        </w:rPr>
        <w:t>Matthews v. Kincaid</w:t>
      </w:r>
      <w:r w:rsidR="00EC37DA" w:rsidRPr="00982D3C">
        <w:rPr>
          <w:rFonts w:ascii="Bookman Old Style" w:hAnsi="Bookman Old Style"/>
          <w:szCs w:val="26"/>
        </w:rPr>
        <w:t xml:space="preserve">, 746 P.2d 470 (Alaska 1987) and </w:t>
      </w:r>
      <w:r w:rsidRPr="00982D3C">
        <w:rPr>
          <w:rFonts w:ascii="Bookman Old Style" w:hAnsi="Bookman Old Style"/>
          <w:i/>
          <w:szCs w:val="26"/>
        </w:rPr>
        <w:t>Turnbull v. LaRose</w:t>
      </w:r>
      <w:r w:rsidRPr="00982D3C">
        <w:rPr>
          <w:rFonts w:ascii="Bookman Old Style" w:hAnsi="Bookman Old Style"/>
          <w:szCs w:val="26"/>
        </w:rPr>
        <w:t>, 702 P.2d 1331, 1334 (Alaska 1985).</w:t>
      </w:r>
      <w:r w:rsidR="003559F4" w:rsidRPr="00982D3C">
        <w:rPr>
          <w:rFonts w:ascii="Bookman Old Style" w:hAnsi="Bookman Old Style"/>
          <w:szCs w:val="26"/>
        </w:rPr>
        <w:t xml:space="preserve"> </w:t>
      </w:r>
      <w:r w:rsidR="004B71AA" w:rsidRPr="00982D3C">
        <w:rPr>
          <w:rFonts w:ascii="Bookman Old Style" w:hAnsi="Bookman Old Style"/>
          <w:szCs w:val="26"/>
        </w:rPr>
        <w:t xml:space="preserve"> </w:t>
      </w:r>
    </w:p>
    <w:p w:rsidR="00EC37DA" w:rsidRPr="00982D3C" w:rsidRDefault="00EC37DA" w:rsidP="00982D3C">
      <w:pPr>
        <w:jc w:val="both"/>
        <w:rPr>
          <w:rFonts w:ascii="Bookman Old Style" w:hAnsi="Bookman Old Style"/>
          <w:szCs w:val="26"/>
        </w:rPr>
      </w:pPr>
    </w:p>
    <w:p w:rsidR="001512AE" w:rsidRPr="00982D3C" w:rsidRDefault="004B71AA" w:rsidP="00982D3C">
      <w:pPr>
        <w:jc w:val="both"/>
        <w:rPr>
          <w:rFonts w:ascii="Bookman Old Style" w:hAnsi="Bookman Old Style"/>
          <w:szCs w:val="26"/>
        </w:rPr>
      </w:pPr>
      <w:r w:rsidRPr="00982D3C">
        <w:rPr>
          <w:rFonts w:ascii="Bookman Old Style" w:hAnsi="Bookman Old Style"/>
          <w:szCs w:val="26"/>
        </w:rPr>
        <w:t xml:space="preserve">A </w:t>
      </w:r>
      <w:r w:rsidR="00E9037C" w:rsidRPr="00982D3C">
        <w:rPr>
          <w:rFonts w:ascii="Bookman Old Style" w:hAnsi="Bookman Old Style"/>
          <w:szCs w:val="26"/>
        </w:rPr>
        <w:t xml:space="preserve">person with a duty to disclose only has the duty to exercise reasonable care </w:t>
      </w:r>
      <w:r w:rsidR="00911B7F" w:rsidRPr="00982D3C">
        <w:rPr>
          <w:rFonts w:ascii="Bookman Old Style" w:hAnsi="Bookman Old Style"/>
          <w:szCs w:val="26"/>
        </w:rPr>
        <w:t>to</w:t>
      </w:r>
      <w:r w:rsidR="00E9037C" w:rsidRPr="00982D3C">
        <w:rPr>
          <w:rFonts w:ascii="Bookman Old Style" w:hAnsi="Bookman Old Style"/>
          <w:szCs w:val="26"/>
        </w:rPr>
        <w:t xml:space="preserve"> disclos</w:t>
      </w:r>
      <w:r w:rsidR="00911B7F" w:rsidRPr="00982D3C">
        <w:rPr>
          <w:rFonts w:ascii="Bookman Old Style" w:hAnsi="Bookman Old Style"/>
          <w:szCs w:val="26"/>
        </w:rPr>
        <w:t>e</w:t>
      </w:r>
      <w:r w:rsidR="00E9037C" w:rsidRPr="00982D3C">
        <w:rPr>
          <w:rFonts w:ascii="Bookman Old Style" w:hAnsi="Bookman Old Style"/>
          <w:szCs w:val="26"/>
        </w:rPr>
        <w:t xml:space="preserve"> the information</w:t>
      </w:r>
      <w:r w:rsidR="00FD5E74" w:rsidRPr="00982D3C">
        <w:rPr>
          <w:rFonts w:ascii="Bookman Old Style" w:hAnsi="Bookman Old Style"/>
          <w:szCs w:val="26"/>
        </w:rPr>
        <w:t>.  T</w:t>
      </w:r>
      <w:r w:rsidR="00E9037C" w:rsidRPr="00982D3C">
        <w:rPr>
          <w:rFonts w:ascii="Bookman Old Style" w:hAnsi="Bookman Old Style"/>
          <w:szCs w:val="26"/>
        </w:rPr>
        <w:t>hus</w:t>
      </w:r>
      <w:r w:rsidR="00FD5E74" w:rsidRPr="00982D3C">
        <w:rPr>
          <w:rFonts w:ascii="Bookman Old Style" w:hAnsi="Bookman Old Style"/>
          <w:szCs w:val="26"/>
        </w:rPr>
        <w:t>,</w:t>
      </w:r>
      <w:r w:rsidR="00E9037C" w:rsidRPr="00982D3C">
        <w:rPr>
          <w:rFonts w:ascii="Bookman Old Style" w:hAnsi="Bookman Old Style"/>
          <w:szCs w:val="26"/>
        </w:rPr>
        <w:t xml:space="preserve"> the defendant is not liable if the defendant exercises reasonable care </w:t>
      </w:r>
      <w:r w:rsidR="00EC37DA" w:rsidRPr="00982D3C">
        <w:rPr>
          <w:rFonts w:ascii="Bookman Old Style" w:hAnsi="Bookman Old Style"/>
          <w:szCs w:val="26"/>
        </w:rPr>
        <w:t>to</w:t>
      </w:r>
      <w:r w:rsidR="00E9037C" w:rsidRPr="00982D3C">
        <w:rPr>
          <w:rFonts w:ascii="Bookman Old Style" w:hAnsi="Bookman Old Style"/>
          <w:szCs w:val="26"/>
        </w:rPr>
        <w:t xml:space="preserve"> disclos</w:t>
      </w:r>
      <w:r w:rsidR="00EC37DA" w:rsidRPr="00982D3C">
        <w:rPr>
          <w:rFonts w:ascii="Bookman Old Style" w:hAnsi="Bookman Old Style"/>
          <w:szCs w:val="26"/>
        </w:rPr>
        <w:t>e</w:t>
      </w:r>
      <w:r w:rsidR="00E9037C" w:rsidRPr="00982D3C">
        <w:rPr>
          <w:rFonts w:ascii="Bookman Old Style" w:hAnsi="Bookman Old Style"/>
          <w:szCs w:val="26"/>
        </w:rPr>
        <w:t xml:space="preserve"> the information</w:t>
      </w:r>
      <w:r w:rsidR="00EC37DA" w:rsidRPr="00982D3C">
        <w:rPr>
          <w:rFonts w:ascii="Bookman Old Style" w:hAnsi="Bookman Old Style"/>
          <w:szCs w:val="26"/>
        </w:rPr>
        <w:t>,</w:t>
      </w:r>
      <w:r w:rsidR="00E9037C" w:rsidRPr="00982D3C">
        <w:rPr>
          <w:rFonts w:ascii="Bookman Old Style" w:hAnsi="Bookman Old Style"/>
          <w:szCs w:val="26"/>
        </w:rPr>
        <w:t xml:space="preserve"> but the information does not reach the person who is entitled to it.  Restatement § 551, comment d. </w:t>
      </w:r>
    </w:p>
    <w:p w:rsidR="001512AE" w:rsidRPr="00982D3C" w:rsidRDefault="001512AE" w:rsidP="00982D3C">
      <w:pPr>
        <w:jc w:val="both"/>
        <w:rPr>
          <w:rFonts w:ascii="Bookman Old Style" w:hAnsi="Bookman Old Style"/>
          <w:szCs w:val="26"/>
        </w:rPr>
      </w:pPr>
    </w:p>
    <w:p w:rsidR="00C47E5F" w:rsidRPr="00982D3C" w:rsidRDefault="001512AE" w:rsidP="00982D3C">
      <w:pPr>
        <w:jc w:val="both"/>
        <w:rPr>
          <w:rFonts w:ascii="Bookman Old Style" w:hAnsi="Bookman Old Style"/>
          <w:szCs w:val="26"/>
        </w:rPr>
      </w:pPr>
      <w:r w:rsidRPr="00982D3C">
        <w:rPr>
          <w:rFonts w:ascii="Bookman Old Style" w:hAnsi="Bookman Old Style"/>
          <w:szCs w:val="26"/>
        </w:rPr>
        <w:t>The rule stated in section 551</w:t>
      </w:r>
      <w:r w:rsidR="00FD5E74" w:rsidRPr="00982D3C">
        <w:rPr>
          <w:rFonts w:ascii="Bookman Old Style" w:hAnsi="Bookman Old Style"/>
          <w:szCs w:val="26"/>
        </w:rPr>
        <w:t>(1)</w:t>
      </w:r>
      <w:r w:rsidRPr="00982D3C">
        <w:rPr>
          <w:rFonts w:ascii="Bookman Old Style" w:hAnsi="Bookman Old Style"/>
          <w:szCs w:val="26"/>
        </w:rPr>
        <w:t xml:space="preserve"> reflects the traditional rule that if the </w:t>
      </w:r>
      <w:r w:rsidR="00FD5E74" w:rsidRPr="00982D3C">
        <w:rPr>
          <w:rFonts w:ascii="Bookman Old Style" w:hAnsi="Bookman Old Style"/>
          <w:szCs w:val="26"/>
        </w:rPr>
        <w:t xml:space="preserve">undisclosed </w:t>
      </w:r>
      <w:r w:rsidRPr="00982D3C">
        <w:rPr>
          <w:rFonts w:ascii="Bookman Old Style" w:hAnsi="Bookman Old Style"/>
          <w:szCs w:val="26"/>
        </w:rPr>
        <w:t xml:space="preserve">fact </w:t>
      </w:r>
      <w:r w:rsidR="00FD5E74" w:rsidRPr="00982D3C">
        <w:rPr>
          <w:rFonts w:ascii="Bookman Old Style" w:hAnsi="Bookman Old Style"/>
          <w:szCs w:val="26"/>
        </w:rPr>
        <w:t>is</w:t>
      </w:r>
      <w:r w:rsidRPr="00982D3C">
        <w:rPr>
          <w:rFonts w:ascii="Bookman Old Style" w:hAnsi="Bookman Old Style"/>
          <w:szCs w:val="26"/>
        </w:rPr>
        <w:t xml:space="preserve"> patent, or the plaintiff has an equal opportunity to obtain the fact, or the def</w:t>
      </w:r>
      <w:r w:rsidR="00FD5E74" w:rsidRPr="00982D3C">
        <w:rPr>
          <w:rFonts w:ascii="Bookman Old Style" w:hAnsi="Bookman Old Style"/>
          <w:szCs w:val="26"/>
        </w:rPr>
        <w:t>e</w:t>
      </w:r>
      <w:r w:rsidRPr="00982D3C">
        <w:rPr>
          <w:rFonts w:ascii="Bookman Old Style" w:hAnsi="Bookman Old Style"/>
          <w:szCs w:val="26"/>
        </w:rPr>
        <w:t xml:space="preserve">ndant has no reason to think that the plaintiff is acting under a misapprehension, the defendant has no obligation to disclose </w:t>
      </w:r>
      <w:r w:rsidR="00FD5E74" w:rsidRPr="00982D3C">
        <w:rPr>
          <w:rFonts w:ascii="Bookman Old Style" w:hAnsi="Bookman Old Style"/>
          <w:szCs w:val="26"/>
        </w:rPr>
        <w:t xml:space="preserve">the </w:t>
      </w:r>
      <w:r w:rsidRPr="00982D3C">
        <w:rPr>
          <w:rFonts w:ascii="Bookman Old Style" w:hAnsi="Bookman Old Style"/>
          <w:szCs w:val="26"/>
        </w:rPr>
        <w:t xml:space="preserve">fact.  See Restatement § 551, comments k &amp; l.  </w:t>
      </w:r>
      <w:r w:rsidRPr="00982D3C">
        <w:rPr>
          <w:rFonts w:ascii="Bookman Old Style" w:hAnsi="Bookman Old Style"/>
          <w:i/>
          <w:szCs w:val="26"/>
        </w:rPr>
        <w:t>See</w:t>
      </w:r>
      <w:r w:rsidRPr="00982D3C">
        <w:rPr>
          <w:rFonts w:ascii="Bookman Old Style" w:hAnsi="Bookman Old Style"/>
          <w:szCs w:val="26"/>
        </w:rPr>
        <w:t xml:space="preserve"> </w:t>
      </w:r>
      <w:r w:rsidR="00FD5E74" w:rsidRPr="00982D3C">
        <w:rPr>
          <w:rFonts w:ascii="Bookman Old Style" w:hAnsi="Bookman Old Style"/>
          <w:i/>
          <w:szCs w:val="26"/>
        </w:rPr>
        <w:t>Deptula v. Simpson</w:t>
      </w:r>
      <w:r w:rsidR="00FD5E74" w:rsidRPr="00982D3C">
        <w:rPr>
          <w:rFonts w:ascii="Bookman Old Style" w:hAnsi="Bookman Old Style"/>
          <w:szCs w:val="26"/>
        </w:rPr>
        <w:t xml:space="preserve">, 164 P.3d 640, 645-46 (Alaska 2007); </w:t>
      </w:r>
      <w:r w:rsidR="00FD5E74" w:rsidRPr="00982D3C">
        <w:rPr>
          <w:rFonts w:ascii="Bookman Old Style" w:hAnsi="Bookman Old Style"/>
          <w:i/>
          <w:szCs w:val="26"/>
        </w:rPr>
        <w:t xml:space="preserve">Arctic Tug &amp; Barge Inc. v. </w:t>
      </w:r>
      <w:smartTag w:uri="urn:schemas-microsoft-com:office:smarttags" w:element="City">
        <w:r w:rsidR="00FD5E74" w:rsidRPr="00982D3C">
          <w:rPr>
            <w:rFonts w:ascii="Bookman Old Style" w:hAnsi="Bookman Old Style"/>
            <w:i/>
            <w:szCs w:val="26"/>
          </w:rPr>
          <w:t>Raleigh</w:t>
        </w:r>
      </w:smartTag>
      <w:r w:rsidR="00FD5E74" w:rsidRPr="00982D3C">
        <w:rPr>
          <w:rFonts w:ascii="Bookman Old Style" w:hAnsi="Bookman Old Style"/>
          <w:i/>
          <w:szCs w:val="26"/>
        </w:rPr>
        <w:t>, Schwarz &amp; Powell</w:t>
      </w:r>
      <w:r w:rsidR="00FD5E74" w:rsidRPr="00982D3C">
        <w:rPr>
          <w:rFonts w:ascii="Bookman Old Style" w:hAnsi="Bookman Old Style"/>
          <w:szCs w:val="26"/>
        </w:rPr>
        <w:t>, 956 P.2d 199, 202 (</w:t>
      </w:r>
      <w:smartTag w:uri="urn:schemas-microsoft-com:office:smarttags" w:element="State">
        <w:r w:rsidR="00FD5E74" w:rsidRPr="00982D3C">
          <w:rPr>
            <w:rFonts w:ascii="Bookman Old Style" w:hAnsi="Bookman Old Style"/>
            <w:szCs w:val="26"/>
          </w:rPr>
          <w:t>Alaska</w:t>
        </w:r>
      </w:smartTag>
      <w:r w:rsidR="00FD5E74" w:rsidRPr="00982D3C">
        <w:rPr>
          <w:rFonts w:ascii="Bookman Old Style" w:hAnsi="Bookman Old Style"/>
          <w:szCs w:val="26"/>
        </w:rPr>
        <w:t xml:space="preserve"> 1998); </w:t>
      </w:r>
      <w:r w:rsidR="00FD5E74" w:rsidRPr="00982D3C">
        <w:rPr>
          <w:rFonts w:ascii="Bookman Old Style" w:hAnsi="Bookman Old Style"/>
          <w:i/>
          <w:szCs w:val="26"/>
        </w:rPr>
        <w:t>Matthews v. Kincaid</w:t>
      </w:r>
      <w:r w:rsidR="00FD5E74" w:rsidRPr="00982D3C">
        <w:rPr>
          <w:rFonts w:ascii="Bookman Old Style" w:hAnsi="Bookman Old Style"/>
          <w:szCs w:val="26"/>
        </w:rPr>
        <w:t>, 746 P.2d 470 (</w:t>
      </w:r>
      <w:smartTag w:uri="urn:schemas-microsoft-com:office:smarttags" w:element="State">
        <w:smartTag w:uri="urn:schemas-microsoft-com:office:smarttags" w:element="place">
          <w:r w:rsidR="00FD5E74" w:rsidRPr="00982D3C">
            <w:rPr>
              <w:rFonts w:ascii="Bookman Old Style" w:hAnsi="Bookman Old Style"/>
              <w:szCs w:val="26"/>
            </w:rPr>
            <w:t>Alaska</w:t>
          </w:r>
        </w:smartTag>
      </w:smartTag>
      <w:r w:rsidR="00FD5E74" w:rsidRPr="00982D3C">
        <w:rPr>
          <w:rFonts w:ascii="Bookman Old Style" w:hAnsi="Bookman Old Style"/>
          <w:szCs w:val="26"/>
        </w:rPr>
        <w:t xml:space="preserve"> 1987).</w:t>
      </w:r>
    </w:p>
    <w:p w:rsidR="00C47E5F" w:rsidRPr="00982D3C" w:rsidRDefault="00C47E5F" w:rsidP="00982D3C">
      <w:pPr>
        <w:rPr>
          <w:rFonts w:ascii="Bookman Old Style" w:hAnsi="Bookman Old Style"/>
          <w:szCs w:val="26"/>
        </w:rPr>
      </w:pPr>
    </w:p>
    <w:p w:rsidR="000155E0" w:rsidRPr="00982D3C" w:rsidRDefault="000155E0" w:rsidP="00540DA4">
      <w:pPr>
        <w:jc w:val="both"/>
        <w:rPr>
          <w:rFonts w:ascii="Bookman Old Style" w:hAnsi="Bookman Old Style"/>
          <w:szCs w:val="26"/>
        </w:rPr>
      </w:pPr>
      <w:r w:rsidRPr="00982D3C">
        <w:rPr>
          <w:rFonts w:ascii="Bookman Old Style" w:hAnsi="Bookman Old Style"/>
          <w:szCs w:val="26"/>
        </w:rPr>
        <w:t xml:space="preserve">In </w:t>
      </w:r>
      <w:r w:rsidRPr="00982D3C">
        <w:rPr>
          <w:rFonts w:ascii="Bookman Old Style" w:hAnsi="Bookman Old Style"/>
          <w:i/>
          <w:szCs w:val="26"/>
        </w:rPr>
        <w:t>Anchorage Chrysler Center, Inc. v. DaimlerChrysler Corp</w:t>
      </w:r>
      <w:r w:rsidRPr="00982D3C">
        <w:rPr>
          <w:rFonts w:ascii="Bookman Old Style" w:hAnsi="Bookman Old Style"/>
          <w:szCs w:val="26"/>
        </w:rPr>
        <w:t xml:space="preserve">., 221 P.3d 977 (Alaska 2009), the supreme court held that the loss in a fraudulent misrepresentation case must be a pecuniary loss caused by the plaintiff’s reliance on the misrepresentation. 221 P.3d at 991-92. A plaintiff who can prove pecuniary loss but not the extent of the loss may still be entitled to an award of nominal damages. </w:t>
      </w:r>
      <w:r w:rsidRPr="00982D3C">
        <w:rPr>
          <w:rFonts w:ascii="Bookman Old Style" w:hAnsi="Bookman Old Style"/>
          <w:i/>
          <w:szCs w:val="26"/>
        </w:rPr>
        <w:t>Id</w:t>
      </w:r>
      <w:r w:rsidRPr="00982D3C">
        <w:rPr>
          <w:rFonts w:ascii="Bookman Old Style" w:hAnsi="Bookman Old Style"/>
          <w:szCs w:val="26"/>
        </w:rPr>
        <w:t>.</w:t>
      </w:r>
    </w:p>
    <w:sectPr w:rsidR="000155E0" w:rsidRPr="00982D3C" w:rsidSect="008869B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511" w:rsidRDefault="005B5511">
      <w:r>
        <w:separator/>
      </w:r>
    </w:p>
  </w:endnote>
  <w:endnote w:type="continuationSeparator" w:id="0">
    <w:p w:rsidR="005B5511" w:rsidRDefault="005B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9E8" w:rsidRPr="008869B3" w:rsidRDefault="008869B3" w:rsidP="008869B3">
    <w:pPr>
      <w:pStyle w:val="Footer"/>
      <w:tabs>
        <w:tab w:val="clear" w:pos="8640"/>
        <w:tab w:val="right" w:pos="9360"/>
      </w:tabs>
      <w:rPr>
        <w:rFonts w:ascii="Bookman Old Style" w:hAnsi="Bookman Old Style"/>
        <w:szCs w:val="26"/>
      </w:rPr>
    </w:pPr>
    <w:r>
      <w:rPr>
        <w:rStyle w:val="zzmpTrailerItem"/>
        <w:rFonts w:ascii="Bookman Old Style" w:hAnsi="Bookman Old Style"/>
        <w:sz w:val="26"/>
        <w:szCs w:val="26"/>
      </w:rPr>
      <w:t>2010</w:t>
    </w:r>
    <w:r>
      <w:rPr>
        <w:rStyle w:val="zzmpTrailerItem"/>
        <w:rFonts w:ascii="Bookman Old Style" w:hAnsi="Bookman Old Style"/>
        <w:sz w:val="26"/>
        <w:szCs w:val="26"/>
      </w:rPr>
      <w:tab/>
    </w:r>
    <w:r>
      <w:rPr>
        <w:rStyle w:val="zzmpTrailerItem"/>
        <w:rFonts w:ascii="Bookman Old Style" w:hAnsi="Bookman Old Style"/>
        <w:sz w:val="26"/>
        <w:szCs w:val="26"/>
      </w:rPr>
      <w:tab/>
      <w:t xml:space="preserve">17.06 - </w:t>
    </w:r>
    <w:r w:rsidRPr="00FB141B">
      <w:rPr>
        <w:rStyle w:val="PageNumber"/>
        <w:rFonts w:ascii="Bookman Old Style" w:hAnsi="Bookman Old Style"/>
      </w:rPr>
      <w:fldChar w:fldCharType="begin"/>
    </w:r>
    <w:r w:rsidRPr="00FB141B">
      <w:rPr>
        <w:rStyle w:val="PageNumber"/>
        <w:rFonts w:ascii="Bookman Old Style" w:hAnsi="Bookman Old Style"/>
      </w:rPr>
      <w:instrText xml:space="preserve"> PAGE </w:instrText>
    </w:r>
    <w:r w:rsidRPr="00FB141B">
      <w:rPr>
        <w:rStyle w:val="PageNumber"/>
        <w:rFonts w:ascii="Bookman Old Style" w:hAnsi="Bookman Old Style"/>
      </w:rPr>
      <w:fldChar w:fldCharType="separate"/>
    </w:r>
    <w:r w:rsidR="00F21C17">
      <w:rPr>
        <w:rStyle w:val="PageNumber"/>
        <w:rFonts w:ascii="Bookman Old Style" w:hAnsi="Bookman Old Style"/>
        <w:noProof/>
      </w:rPr>
      <w:t>1</w:t>
    </w:r>
    <w:r w:rsidRPr="00FB141B">
      <w:rPr>
        <w:rStyle w:val="PageNumber"/>
        <w:rFonts w:ascii="Bookman Old Style" w:hAnsi="Bookman Old Styl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511" w:rsidRDefault="005B5511">
      <w:r>
        <w:separator/>
      </w:r>
    </w:p>
  </w:footnote>
  <w:footnote w:type="continuationSeparator" w:id="0">
    <w:p w:rsidR="005B5511" w:rsidRDefault="005B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767F"/>
    <w:multiLevelType w:val="multilevel"/>
    <w:tmpl w:val="8EA26DEE"/>
    <w:lvl w:ilvl="0">
      <w:start w:val="1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FA"/>
    <w:rsid w:val="000155E0"/>
    <w:rsid w:val="00017CEB"/>
    <w:rsid w:val="00023061"/>
    <w:rsid w:val="00055B5E"/>
    <w:rsid w:val="00106465"/>
    <w:rsid w:val="001512AE"/>
    <w:rsid w:val="00172D4C"/>
    <w:rsid w:val="00176794"/>
    <w:rsid w:val="001D2239"/>
    <w:rsid w:val="00232C4B"/>
    <w:rsid w:val="002620CF"/>
    <w:rsid w:val="002771BA"/>
    <w:rsid w:val="002A2B90"/>
    <w:rsid w:val="002F4D1F"/>
    <w:rsid w:val="003036F3"/>
    <w:rsid w:val="003559F4"/>
    <w:rsid w:val="003D1872"/>
    <w:rsid w:val="003F7668"/>
    <w:rsid w:val="00444661"/>
    <w:rsid w:val="00452015"/>
    <w:rsid w:val="00456E58"/>
    <w:rsid w:val="00463575"/>
    <w:rsid w:val="00491053"/>
    <w:rsid w:val="004B71AA"/>
    <w:rsid w:val="004E1FCE"/>
    <w:rsid w:val="00504DB2"/>
    <w:rsid w:val="005375B5"/>
    <w:rsid w:val="00540DA4"/>
    <w:rsid w:val="00585FE5"/>
    <w:rsid w:val="005A46F8"/>
    <w:rsid w:val="005B5511"/>
    <w:rsid w:val="005B77DB"/>
    <w:rsid w:val="005C0003"/>
    <w:rsid w:val="005C5FE6"/>
    <w:rsid w:val="005D59B5"/>
    <w:rsid w:val="005F5F7B"/>
    <w:rsid w:val="00633D0F"/>
    <w:rsid w:val="00664FC6"/>
    <w:rsid w:val="00685857"/>
    <w:rsid w:val="006C1412"/>
    <w:rsid w:val="00702F67"/>
    <w:rsid w:val="00722075"/>
    <w:rsid w:val="00731550"/>
    <w:rsid w:val="0075002D"/>
    <w:rsid w:val="0087651E"/>
    <w:rsid w:val="008869B3"/>
    <w:rsid w:val="00892C8E"/>
    <w:rsid w:val="00911B7F"/>
    <w:rsid w:val="009739E8"/>
    <w:rsid w:val="00982D3C"/>
    <w:rsid w:val="009B75CC"/>
    <w:rsid w:val="009C1BA6"/>
    <w:rsid w:val="009F4B91"/>
    <w:rsid w:val="009F4CFD"/>
    <w:rsid w:val="00A70BE5"/>
    <w:rsid w:val="00A7515F"/>
    <w:rsid w:val="00AD009F"/>
    <w:rsid w:val="00AE66B6"/>
    <w:rsid w:val="00AF6996"/>
    <w:rsid w:val="00B0351A"/>
    <w:rsid w:val="00B1753D"/>
    <w:rsid w:val="00B82C36"/>
    <w:rsid w:val="00C31A8D"/>
    <w:rsid w:val="00C453AE"/>
    <w:rsid w:val="00C47E5F"/>
    <w:rsid w:val="00CE6115"/>
    <w:rsid w:val="00CF73F6"/>
    <w:rsid w:val="00D35C78"/>
    <w:rsid w:val="00D76D9E"/>
    <w:rsid w:val="00D76DFA"/>
    <w:rsid w:val="00D81083"/>
    <w:rsid w:val="00DE021A"/>
    <w:rsid w:val="00E3464B"/>
    <w:rsid w:val="00E71436"/>
    <w:rsid w:val="00E74E20"/>
    <w:rsid w:val="00E9037C"/>
    <w:rsid w:val="00EC37DA"/>
    <w:rsid w:val="00EC4A04"/>
    <w:rsid w:val="00F144F9"/>
    <w:rsid w:val="00F21C17"/>
    <w:rsid w:val="00F53C1A"/>
    <w:rsid w:val="00F7498E"/>
    <w:rsid w:val="00FB141B"/>
    <w:rsid w:val="00FC3733"/>
    <w:rsid w:val="00FD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739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39E8"/>
    <w:pPr>
      <w:tabs>
        <w:tab w:val="center" w:pos="4320"/>
        <w:tab w:val="right" w:pos="8640"/>
      </w:tabs>
    </w:pPr>
  </w:style>
  <w:style w:type="character" w:customStyle="1" w:styleId="zzmpTrailerItem">
    <w:name w:val="zzmpTrailerItem"/>
    <w:basedOn w:val="DefaultParagraphFont"/>
    <w:rsid w:val="009739E8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styleId="PageNumber">
    <w:name w:val="page number"/>
    <w:basedOn w:val="DefaultParagraphFont"/>
    <w:rsid w:val="00886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739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39E8"/>
    <w:pPr>
      <w:tabs>
        <w:tab w:val="center" w:pos="4320"/>
        <w:tab w:val="right" w:pos="8640"/>
      </w:tabs>
    </w:pPr>
  </w:style>
  <w:style w:type="character" w:customStyle="1" w:styleId="zzmpTrailerItem">
    <w:name w:val="zzmpTrailerItem"/>
    <w:basedOn w:val="DefaultParagraphFont"/>
    <w:rsid w:val="009739E8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styleId="PageNumber">
    <w:name w:val="page number"/>
    <w:basedOn w:val="DefaultParagraphFont"/>
    <w:rsid w:val="00886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 </dc:creator>
  <cp:keywords> </cp:keywords>
  <dc:description> </dc:description>
  <cp:lastModifiedBy>Michael Merrington</cp:lastModifiedBy>
  <cp:revision>3</cp:revision>
  <cp:lastPrinted>2010-01-13T23:03:00Z</cp:lastPrinted>
  <dcterms:created xsi:type="dcterms:W3CDTF">2017-04-04T18:50:00Z</dcterms:created>
  <dcterms:modified xsi:type="dcterms:W3CDTF">2017-04-04T18:50:00Z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GEAAO+/T9t20xwka/0pam58f5Yj8Gzrjtxt27tO2/9DlDqjPSOLU33F91S2EEUIUQWP9zMuBOwhh8LEO_x000d_
mXGSTtguuyMeb27uGA+N0QRFC+F2hPScpQbYnTYeKTqvw6Y1U/AW27VkhHn4tsg/ckXZ0ABcgI07_x000d_
Ojz+XOlrGAa7wcYxEWzHGfzs8UYSsLCNDWuBSNBHrwt/O02nnsn5ZHX+roXpkaHnOnr35Go9SulG_x000d_
aQoJGtHa8EJkeBRTz</vt:lpwstr>
  </property>
  <property fmtid="{D5CDD505-2E9C-101B-9397-08002B2CF9AE}" pid="3" name="MAIL_MSG_ID2">
    <vt:lpwstr>dJYi2GpUqbA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4AAAyjQjm0EOGgJA6qce9Vt/9s8StNiZamPkmpQtx+dnBHqHWQKwtfu4ww==</vt:lpwstr>
  </property>
</Properties>
</file>