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B2C" w:rsidRDefault="00A23B2C" w:rsidP="00E224DC">
      <w:pPr>
        <w:pStyle w:val="BodyText2"/>
        <w:spacing w:line="240" w:lineRule="auto"/>
        <w:jc w:val="left"/>
      </w:pPr>
      <w:bookmarkStart w:id="0" w:name="_GoBack"/>
      <w:bookmarkEnd w:id="0"/>
      <w:r>
        <w:t>18.02</w:t>
      </w:r>
      <w:r>
        <w:tab/>
      </w:r>
      <w:r w:rsidR="00E224DC">
        <w:t>CONVERSION/</w:t>
      </w:r>
      <w:r>
        <w:t>Intentional Interference with Chattels — Prima Facie Case</w:t>
      </w:r>
    </w:p>
    <w:p w:rsidR="00A23B2C" w:rsidRDefault="00A23B2C">
      <w:pPr>
        <w:widowControl w:val="0"/>
        <w:spacing w:line="360" w:lineRule="auto"/>
        <w:jc w:val="both"/>
        <w:rPr>
          <w:rFonts w:ascii="Bookman Old Style" w:hAnsi="Bookman Old Style"/>
          <w:sz w:val="26"/>
        </w:rPr>
      </w:pPr>
    </w:p>
    <w:p w:rsidR="00A23B2C" w:rsidRPr="008B5691" w:rsidRDefault="00A23B2C">
      <w:pPr>
        <w:widowControl w:val="0"/>
        <w:spacing w:line="360" w:lineRule="auto"/>
        <w:jc w:val="both"/>
        <w:rPr>
          <w:rFonts w:ascii="Bookman Old Style" w:hAnsi="Bookman Old Style"/>
          <w:sz w:val="24"/>
          <w:szCs w:val="24"/>
        </w:rPr>
      </w:pPr>
      <w:r w:rsidRPr="008B5691">
        <w:rPr>
          <w:rFonts w:ascii="Bookman Old Style" w:hAnsi="Bookman Old Style"/>
          <w:sz w:val="24"/>
          <w:szCs w:val="24"/>
        </w:rPr>
        <w:t>In this case, the plaintiff claims that the defendant's act or omission involving (insert item of property) caused the plaintiff</w:t>
      </w:r>
      <w:r w:rsidR="00E224DC" w:rsidRPr="008B5691">
        <w:rPr>
          <w:rFonts w:ascii="Bookman Old Style" w:hAnsi="Bookman Old Style"/>
          <w:sz w:val="24"/>
          <w:szCs w:val="24"/>
        </w:rPr>
        <w:t>’s</w:t>
      </w:r>
      <w:r w:rsidRPr="008B5691">
        <w:rPr>
          <w:rFonts w:ascii="Bookman Old Style" w:hAnsi="Bookman Old Style"/>
          <w:sz w:val="24"/>
          <w:szCs w:val="24"/>
        </w:rPr>
        <w:t xml:space="preserve"> loss.</w:t>
      </w:r>
    </w:p>
    <w:p w:rsidR="00A23B2C" w:rsidRPr="008B5691" w:rsidRDefault="00A23B2C">
      <w:pPr>
        <w:widowControl w:val="0"/>
        <w:spacing w:line="360" w:lineRule="auto"/>
        <w:jc w:val="both"/>
        <w:rPr>
          <w:rFonts w:ascii="Bookman Old Style" w:hAnsi="Bookman Old Style"/>
          <w:sz w:val="24"/>
          <w:szCs w:val="24"/>
        </w:rPr>
      </w:pPr>
    </w:p>
    <w:p w:rsidR="00A23B2C" w:rsidRPr="008B5691" w:rsidRDefault="00A23B2C">
      <w:pPr>
        <w:widowControl w:val="0"/>
        <w:spacing w:line="360" w:lineRule="auto"/>
        <w:jc w:val="both"/>
        <w:rPr>
          <w:rFonts w:ascii="Bookman Old Style" w:hAnsi="Bookman Old Style"/>
          <w:sz w:val="24"/>
          <w:szCs w:val="24"/>
        </w:rPr>
      </w:pPr>
      <w:r w:rsidRPr="008B5691">
        <w:rPr>
          <w:rFonts w:ascii="Bookman Old Style" w:hAnsi="Bookman Old Style"/>
          <w:sz w:val="24"/>
          <w:szCs w:val="24"/>
        </w:rPr>
        <w:t xml:space="preserve">For the plaintiff to win on this </w:t>
      </w:r>
      <w:r w:rsidR="00DF5FB7" w:rsidRPr="008B5691">
        <w:rPr>
          <w:rFonts w:ascii="Bookman Old Style" w:hAnsi="Bookman Old Style"/>
          <w:sz w:val="24"/>
          <w:szCs w:val="24"/>
        </w:rPr>
        <w:t>claim</w:t>
      </w:r>
      <w:r w:rsidRPr="008B5691">
        <w:rPr>
          <w:rFonts w:ascii="Bookman Old Style" w:hAnsi="Bookman Old Style"/>
          <w:sz w:val="24"/>
          <w:szCs w:val="24"/>
        </w:rPr>
        <w:t>, you must decide that it is more likely true than not true</w:t>
      </w:r>
      <w:r w:rsidR="00642D62" w:rsidRPr="008B5691">
        <w:rPr>
          <w:rFonts w:ascii="Bookman Old Style" w:hAnsi="Bookman Old Style"/>
          <w:sz w:val="24"/>
          <w:szCs w:val="24"/>
        </w:rPr>
        <w:t xml:space="preserve"> that</w:t>
      </w:r>
      <w:r w:rsidRPr="008B5691">
        <w:rPr>
          <w:rFonts w:ascii="Bookman Old Style" w:hAnsi="Bookman Old Style"/>
          <w:sz w:val="24"/>
          <w:szCs w:val="24"/>
        </w:rPr>
        <w:t>:</w:t>
      </w:r>
    </w:p>
    <w:p w:rsidR="00A23B2C" w:rsidRPr="008B5691" w:rsidRDefault="00A23B2C">
      <w:pPr>
        <w:widowControl w:val="0"/>
        <w:spacing w:line="360" w:lineRule="auto"/>
        <w:jc w:val="both"/>
        <w:rPr>
          <w:rFonts w:ascii="Bookman Old Style" w:hAnsi="Bookman Old Style"/>
          <w:sz w:val="24"/>
          <w:szCs w:val="24"/>
        </w:rPr>
      </w:pPr>
    </w:p>
    <w:p w:rsidR="00A23B2C" w:rsidRPr="008B5691" w:rsidRDefault="008B7164">
      <w:pPr>
        <w:widowControl w:val="0"/>
        <w:spacing w:line="360" w:lineRule="auto"/>
        <w:ind w:left="720" w:hanging="720"/>
        <w:jc w:val="both"/>
        <w:rPr>
          <w:rFonts w:ascii="Bookman Old Style" w:hAnsi="Bookman Old Style"/>
          <w:sz w:val="24"/>
          <w:szCs w:val="24"/>
        </w:rPr>
      </w:pPr>
      <w:r w:rsidRPr="008B5691">
        <w:rPr>
          <w:rFonts w:ascii="Bookman Old Style" w:hAnsi="Bookman Old Style"/>
          <w:sz w:val="24"/>
          <w:szCs w:val="24"/>
        </w:rPr>
        <w:t>(1)</w:t>
      </w:r>
      <w:r w:rsidR="00A23B2C" w:rsidRPr="008B5691">
        <w:rPr>
          <w:rFonts w:ascii="Bookman Old Style" w:hAnsi="Bookman Old Style"/>
          <w:sz w:val="24"/>
          <w:szCs w:val="24"/>
        </w:rPr>
        <w:tab/>
        <w:t xml:space="preserve">the plaintiff had </w:t>
      </w:r>
      <w:r w:rsidR="00DF5FB7" w:rsidRPr="008B5691">
        <w:rPr>
          <w:rFonts w:ascii="Bookman Old Style" w:hAnsi="Bookman Old Style"/>
          <w:sz w:val="24"/>
          <w:szCs w:val="24"/>
        </w:rPr>
        <w:t xml:space="preserve">the </w:t>
      </w:r>
      <w:r w:rsidR="00A23B2C" w:rsidRPr="008B5691">
        <w:rPr>
          <w:rFonts w:ascii="Bookman Old Style" w:hAnsi="Bookman Old Style"/>
          <w:sz w:val="24"/>
          <w:szCs w:val="24"/>
        </w:rPr>
        <w:t xml:space="preserve"> right to possess the (insert item of property); </w:t>
      </w:r>
    </w:p>
    <w:p w:rsidR="00A23B2C" w:rsidRPr="008B5691" w:rsidRDefault="00A23B2C">
      <w:pPr>
        <w:widowControl w:val="0"/>
        <w:spacing w:line="360" w:lineRule="auto"/>
        <w:ind w:left="720" w:hanging="720"/>
        <w:jc w:val="both"/>
        <w:rPr>
          <w:rFonts w:ascii="Bookman Old Style" w:hAnsi="Bookman Old Style"/>
          <w:sz w:val="24"/>
          <w:szCs w:val="24"/>
        </w:rPr>
      </w:pPr>
    </w:p>
    <w:p w:rsidR="00642D62" w:rsidRPr="008B5691" w:rsidRDefault="008B7164">
      <w:pPr>
        <w:widowControl w:val="0"/>
        <w:spacing w:line="360" w:lineRule="auto"/>
        <w:ind w:left="720" w:hanging="720"/>
        <w:jc w:val="both"/>
        <w:rPr>
          <w:rFonts w:ascii="Bookman Old Style" w:hAnsi="Bookman Old Style"/>
          <w:sz w:val="24"/>
          <w:szCs w:val="24"/>
        </w:rPr>
      </w:pPr>
      <w:r w:rsidRPr="008B5691">
        <w:rPr>
          <w:rFonts w:ascii="Bookman Old Style" w:hAnsi="Bookman Old Style"/>
          <w:sz w:val="24"/>
          <w:szCs w:val="24"/>
        </w:rPr>
        <w:t>(2)</w:t>
      </w:r>
      <w:r w:rsidR="00A23B2C" w:rsidRPr="008B5691">
        <w:rPr>
          <w:rFonts w:ascii="Bookman Old Style" w:hAnsi="Bookman Old Style"/>
          <w:sz w:val="24"/>
          <w:szCs w:val="24"/>
        </w:rPr>
        <w:tab/>
        <w:t>the defendant</w:t>
      </w:r>
      <w:r w:rsidR="00BD0041" w:rsidRPr="008B5691">
        <w:rPr>
          <w:rFonts w:ascii="Bookman Old Style" w:hAnsi="Bookman Old Style"/>
          <w:sz w:val="24"/>
          <w:szCs w:val="24"/>
        </w:rPr>
        <w:t xml:space="preserve"> interfere</w:t>
      </w:r>
      <w:r w:rsidR="006147A1" w:rsidRPr="008B5691">
        <w:rPr>
          <w:rFonts w:ascii="Bookman Old Style" w:hAnsi="Bookman Old Style"/>
          <w:sz w:val="24"/>
          <w:szCs w:val="24"/>
        </w:rPr>
        <w:t>d</w:t>
      </w:r>
      <w:r w:rsidR="00BD0041" w:rsidRPr="008B5691">
        <w:rPr>
          <w:rFonts w:ascii="Bookman Old Style" w:hAnsi="Bookman Old Style"/>
          <w:sz w:val="24"/>
          <w:szCs w:val="24"/>
        </w:rPr>
        <w:t xml:space="preserve"> with the plaintiff’s</w:t>
      </w:r>
      <w:r w:rsidRPr="008B5691">
        <w:rPr>
          <w:rFonts w:ascii="Bookman Old Style" w:hAnsi="Bookman Old Style"/>
          <w:sz w:val="24"/>
          <w:szCs w:val="24"/>
        </w:rPr>
        <w:t xml:space="preserve"> </w:t>
      </w:r>
      <w:r w:rsidR="00BD0041" w:rsidRPr="008B5691">
        <w:rPr>
          <w:rFonts w:ascii="Bookman Old Style" w:hAnsi="Bookman Old Style"/>
          <w:sz w:val="24"/>
          <w:szCs w:val="24"/>
        </w:rPr>
        <w:t>possession</w:t>
      </w:r>
      <w:r w:rsidR="00A55D1E" w:rsidRPr="008B5691">
        <w:rPr>
          <w:rFonts w:ascii="Bookman Old Style" w:hAnsi="Bookman Old Style"/>
          <w:sz w:val="24"/>
          <w:szCs w:val="24"/>
        </w:rPr>
        <w:t xml:space="preserve"> of the</w:t>
      </w:r>
      <w:r w:rsidR="006147A1" w:rsidRPr="008B5691">
        <w:rPr>
          <w:rFonts w:ascii="Bookman Old Style" w:hAnsi="Bookman Old Style"/>
          <w:sz w:val="24"/>
          <w:szCs w:val="24"/>
        </w:rPr>
        <w:t xml:space="preserve"> (insert item of property)</w:t>
      </w:r>
      <w:r w:rsidR="00642D62" w:rsidRPr="008B5691">
        <w:rPr>
          <w:rFonts w:ascii="Bookman Old Style" w:hAnsi="Bookman Old Style"/>
          <w:sz w:val="24"/>
          <w:szCs w:val="24"/>
        </w:rPr>
        <w:t xml:space="preserve"> by (insert alleged act or omission)</w:t>
      </w:r>
      <w:r w:rsidR="00A23B2C" w:rsidRPr="008B5691">
        <w:rPr>
          <w:rFonts w:ascii="Bookman Old Style" w:hAnsi="Bookman Old Style"/>
          <w:sz w:val="24"/>
          <w:szCs w:val="24"/>
        </w:rPr>
        <w:t xml:space="preserve">; </w:t>
      </w:r>
    </w:p>
    <w:p w:rsidR="006E36C0" w:rsidRPr="008B5691" w:rsidRDefault="006E36C0">
      <w:pPr>
        <w:widowControl w:val="0"/>
        <w:spacing w:line="360" w:lineRule="auto"/>
        <w:ind w:left="720" w:hanging="720"/>
        <w:jc w:val="both"/>
        <w:rPr>
          <w:rFonts w:ascii="Bookman Old Style" w:hAnsi="Bookman Old Style"/>
          <w:sz w:val="24"/>
          <w:szCs w:val="24"/>
        </w:rPr>
      </w:pPr>
    </w:p>
    <w:p w:rsidR="00A23B2C" w:rsidRPr="008B5691" w:rsidRDefault="008B7164">
      <w:pPr>
        <w:widowControl w:val="0"/>
        <w:spacing w:line="360" w:lineRule="auto"/>
        <w:ind w:left="720" w:hanging="720"/>
        <w:jc w:val="both"/>
        <w:rPr>
          <w:rFonts w:ascii="Bookman Old Style" w:hAnsi="Bookman Old Style"/>
          <w:sz w:val="24"/>
          <w:szCs w:val="24"/>
        </w:rPr>
      </w:pPr>
      <w:r w:rsidRPr="008B5691">
        <w:rPr>
          <w:rFonts w:ascii="Bookman Old Style" w:hAnsi="Bookman Old Style"/>
          <w:sz w:val="24"/>
          <w:szCs w:val="24"/>
        </w:rPr>
        <w:t>(3)</w:t>
      </w:r>
      <w:r w:rsidR="00642D62" w:rsidRPr="008B5691">
        <w:rPr>
          <w:rFonts w:ascii="Bookman Old Style" w:hAnsi="Bookman Old Style"/>
          <w:sz w:val="24"/>
          <w:szCs w:val="24"/>
        </w:rPr>
        <w:tab/>
        <w:t xml:space="preserve">the defendant’s </w:t>
      </w:r>
      <w:r w:rsidR="00A71111" w:rsidRPr="008B5691">
        <w:rPr>
          <w:rFonts w:ascii="Bookman Old Style" w:hAnsi="Bookman Old Style"/>
          <w:sz w:val="24"/>
          <w:szCs w:val="24"/>
        </w:rPr>
        <w:t xml:space="preserve">conduct </w:t>
      </w:r>
      <w:r w:rsidR="00642D62" w:rsidRPr="008B5691">
        <w:rPr>
          <w:rFonts w:ascii="Bookman Old Style" w:hAnsi="Bookman Old Style"/>
          <w:sz w:val="24"/>
          <w:szCs w:val="24"/>
        </w:rPr>
        <w:t xml:space="preserve">was intentional; </w:t>
      </w:r>
      <w:r w:rsidR="00A23B2C" w:rsidRPr="008B5691">
        <w:rPr>
          <w:rFonts w:ascii="Bookman Old Style" w:hAnsi="Bookman Old Style"/>
          <w:sz w:val="24"/>
          <w:szCs w:val="24"/>
        </w:rPr>
        <w:t>and</w:t>
      </w:r>
    </w:p>
    <w:p w:rsidR="00A23B2C" w:rsidRPr="008B5691" w:rsidRDefault="00A23B2C">
      <w:pPr>
        <w:widowControl w:val="0"/>
        <w:spacing w:line="360" w:lineRule="auto"/>
        <w:ind w:left="720" w:hanging="720"/>
        <w:jc w:val="both"/>
        <w:rPr>
          <w:rFonts w:ascii="Bookman Old Style" w:hAnsi="Bookman Old Style"/>
          <w:sz w:val="24"/>
          <w:szCs w:val="24"/>
        </w:rPr>
      </w:pPr>
    </w:p>
    <w:p w:rsidR="00A23B2C" w:rsidRPr="008B5691" w:rsidRDefault="008B7164">
      <w:pPr>
        <w:widowControl w:val="0"/>
        <w:spacing w:line="360" w:lineRule="auto"/>
        <w:ind w:left="720" w:hanging="720"/>
        <w:jc w:val="both"/>
        <w:rPr>
          <w:rFonts w:ascii="Bookman Old Style" w:hAnsi="Bookman Old Style"/>
          <w:sz w:val="24"/>
          <w:szCs w:val="24"/>
        </w:rPr>
      </w:pPr>
      <w:r w:rsidRPr="008B5691">
        <w:rPr>
          <w:rFonts w:ascii="Bookman Old Style" w:hAnsi="Bookman Old Style"/>
          <w:sz w:val="24"/>
          <w:szCs w:val="24"/>
        </w:rPr>
        <w:t>(4)</w:t>
      </w:r>
      <w:r w:rsidR="00A23B2C" w:rsidRPr="008B5691">
        <w:rPr>
          <w:rFonts w:ascii="Bookman Old Style" w:hAnsi="Bookman Old Style"/>
          <w:sz w:val="24"/>
          <w:szCs w:val="24"/>
        </w:rPr>
        <w:tab/>
        <w:t xml:space="preserve">the defendant's </w:t>
      </w:r>
      <w:r w:rsidR="00642D62" w:rsidRPr="008B5691">
        <w:rPr>
          <w:rFonts w:ascii="Bookman Old Style" w:hAnsi="Bookman Old Style"/>
          <w:sz w:val="24"/>
          <w:szCs w:val="24"/>
        </w:rPr>
        <w:t xml:space="preserve">intentional interference </w:t>
      </w:r>
      <w:r w:rsidR="00A23B2C" w:rsidRPr="008B5691">
        <w:rPr>
          <w:rFonts w:ascii="Bookman Old Style" w:hAnsi="Bookman Old Style"/>
          <w:sz w:val="24"/>
          <w:szCs w:val="24"/>
        </w:rPr>
        <w:t xml:space="preserve">was a </w:t>
      </w:r>
      <w:r w:rsidR="00BD0041" w:rsidRPr="008B5691">
        <w:rPr>
          <w:rFonts w:ascii="Bookman Old Style" w:hAnsi="Bookman Old Style"/>
          <w:sz w:val="24"/>
          <w:szCs w:val="24"/>
        </w:rPr>
        <w:t>substantial factor in causing the</w:t>
      </w:r>
      <w:r w:rsidR="003766DB" w:rsidRPr="008B5691">
        <w:rPr>
          <w:rFonts w:ascii="Bookman Old Style" w:hAnsi="Bookman Old Style"/>
          <w:sz w:val="24"/>
          <w:szCs w:val="24"/>
        </w:rPr>
        <w:t xml:space="preserve"> </w:t>
      </w:r>
      <w:r w:rsidR="00642D62" w:rsidRPr="008B5691">
        <w:rPr>
          <w:rFonts w:ascii="Bookman Old Style" w:hAnsi="Bookman Old Style"/>
          <w:sz w:val="24"/>
          <w:szCs w:val="24"/>
        </w:rPr>
        <w:t>plaintiff’s</w:t>
      </w:r>
      <w:r w:rsidRPr="008B5691">
        <w:rPr>
          <w:rFonts w:ascii="Bookman Old Style" w:hAnsi="Bookman Old Style"/>
          <w:sz w:val="24"/>
          <w:szCs w:val="24"/>
        </w:rPr>
        <w:t xml:space="preserve"> loss</w:t>
      </w:r>
      <w:r w:rsidR="00A23B2C" w:rsidRPr="008B5691">
        <w:rPr>
          <w:rFonts w:ascii="Bookman Old Style" w:hAnsi="Bookman Old Style"/>
          <w:sz w:val="24"/>
          <w:szCs w:val="24"/>
        </w:rPr>
        <w:t>.</w:t>
      </w:r>
    </w:p>
    <w:p w:rsidR="00A23B2C" w:rsidRPr="008B5691" w:rsidRDefault="00A23B2C">
      <w:pPr>
        <w:widowControl w:val="0"/>
        <w:spacing w:line="360" w:lineRule="auto"/>
        <w:jc w:val="both"/>
        <w:rPr>
          <w:rFonts w:ascii="Bookman Old Style" w:hAnsi="Bookman Old Style"/>
          <w:sz w:val="24"/>
          <w:szCs w:val="24"/>
        </w:rPr>
      </w:pPr>
    </w:p>
    <w:p w:rsidR="00A23B2C" w:rsidRPr="008B5691" w:rsidRDefault="00A23B2C">
      <w:pPr>
        <w:pStyle w:val="BodyText"/>
        <w:rPr>
          <w:sz w:val="24"/>
          <w:szCs w:val="24"/>
        </w:rPr>
      </w:pPr>
      <w:r w:rsidRPr="008B5691">
        <w:rPr>
          <w:sz w:val="24"/>
          <w:szCs w:val="24"/>
        </w:rPr>
        <w:t>If you decide each of these four things is more likely true than not true, then you must decide [whether there was a legal</w:t>
      </w:r>
      <w:r w:rsidR="008B7164" w:rsidRPr="008B5691">
        <w:rPr>
          <w:sz w:val="24"/>
          <w:szCs w:val="24"/>
        </w:rPr>
        <w:t xml:space="preserve"> </w:t>
      </w:r>
      <w:r w:rsidRPr="008B5691">
        <w:rPr>
          <w:sz w:val="24"/>
          <w:szCs w:val="24"/>
        </w:rPr>
        <w:t>excuse for the defendant's act or omission] [how much the defendant must pay to the plaintiff].  Otherwise, you must return a verdict for the defendant on this claim.</w:t>
      </w:r>
    </w:p>
    <w:p w:rsidR="00A23B2C" w:rsidRPr="008B5691" w:rsidRDefault="00A23B2C">
      <w:pPr>
        <w:widowControl w:val="0"/>
        <w:spacing w:line="360" w:lineRule="auto"/>
        <w:jc w:val="both"/>
        <w:rPr>
          <w:rFonts w:ascii="Bookman Old Style" w:hAnsi="Bookman Old Style"/>
          <w:sz w:val="24"/>
          <w:szCs w:val="24"/>
        </w:rPr>
      </w:pPr>
    </w:p>
    <w:p w:rsidR="00A23B2C" w:rsidRPr="008B5691" w:rsidRDefault="00A23B2C">
      <w:pPr>
        <w:widowControl w:val="0"/>
        <w:spacing w:line="360" w:lineRule="auto"/>
        <w:jc w:val="both"/>
        <w:rPr>
          <w:rFonts w:ascii="Bookman Old Style" w:hAnsi="Bookman Old Style"/>
          <w:sz w:val="24"/>
          <w:szCs w:val="24"/>
        </w:rPr>
      </w:pPr>
      <w:r w:rsidRPr="008B5691">
        <w:rPr>
          <w:rFonts w:ascii="Bookman Old Style" w:hAnsi="Bookman Old Style"/>
          <w:sz w:val="24"/>
          <w:szCs w:val="24"/>
        </w:rPr>
        <w:t xml:space="preserve">I will now explain to you what "intentional" means and </w:t>
      </w:r>
      <w:r w:rsidR="00DF5FB7" w:rsidRPr="008B5691">
        <w:rPr>
          <w:rFonts w:ascii="Bookman Old Style" w:hAnsi="Bookman Old Style"/>
          <w:sz w:val="24"/>
          <w:szCs w:val="24"/>
        </w:rPr>
        <w:t xml:space="preserve">what </w:t>
      </w:r>
      <w:r w:rsidR="006147A1" w:rsidRPr="008B5691">
        <w:rPr>
          <w:rFonts w:ascii="Bookman Old Style" w:hAnsi="Bookman Old Style"/>
          <w:sz w:val="24"/>
          <w:szCs w:val="24"/>
        </w:rPr>
        <w:t>“substantial factor”</w:t>
      </w:r>
      <w:r w:rsidRPr="008B5691">
        <w:rPr>
          <w:rFonts w:ascii="Bookman Old Style" w:hAnsi="Bookman Old Style"/>
          <w:sz w:val="24"/>
          <w:szCs w:val="24"/>
        </w:rPr>
        <w:t xml:space="preserve"> means</w:t>
      </w:r>
      <w:r w:rsidR="00642D62" w:rsidRPr="008B5691">
        <w:rPr>
          <w:rFonts w:ascii="Bookman Old Style" w:hAnsi="Bookman Old Style"/>
          <w:sz w:val="24"/>
          <w:szCs w:val="24"/>
        </w:rPr>
        <w:t>.</w:t>
      </w:r>
    </w:p>
    <w:p w:rsidR="00A23B2C" w:rsidRDefault="00A23B2C">
      <w:pPr>
        <w:widowControl w:val="0"/>
        <w:spacing w:line="360" w:lineRule="auto"/>
        <w:jc w:val="both"/>
        <w:rPr>
          <w:rFonts w:ascii="Bookman Old Style" w:hAnsi="Bookman Old Style"/>
          <w:sz w:val="24"/>
          <w:szCs w:val="24"/>
        </w:rPr>
      </w:pPr>
    </w:p>
    <w:p w:rsidR="008B5691" w:rsidRDefault="008B5691">
      <w:pPr>
        <w:widowControl w:val="0"/>
        <w:spacing w:line="360" w:lineRule="auto"/>
        <w:jc w:val="both"/>
        <w:rPr>
          <w:rFonts w:ascii="Bookman Old Style" w:hAnsi="Bookman Old Style"/>
          <w:sz w:val="24"/>
          <w:szCs w:val="24"/>
        </w:rPr>
      </w:pPr>
    </w:p>
    <w:p w:rsidR="008B5691" w:rsidRPr="008B5691" w:rsidRDefault="008B5691">
      <w:pPr>
        <w:widowControl w:val="0"/>
        <w:spacing w:line="360" w:lineRule="auto"/>
        <w:jc w:val="both"/>
        <w:rPr>
          <w:rFonts w:ascii="Bookman Old Style" w:hAnsi="Bookman Old Style"/>
          <w:sz w:val="24"/>
          <w:szCs w:val="24"/>
        </w:rPr>
      </w:pPr>
    </w:p>
    <w:p w:rsidR="00A23B2C" w:rsidRDefault="00A23B2C">
      <w:pPr>
        <w:pStyle w:val="Heading1"/>
        <w:rPr>
          <w:b/>
          <w:sz w:val="24"/>
          <w:szCs w:val="24"/>
          <w:u w:val="none"/>
        </w:rPr>
      </w:pPr>
      <w:r w:rsidRPr="008B5691">
        <w:rPr>
          <w:b/>
          <w:sz w:val="24"/>
          <w:szCs w:val="24"/>
          <w:u w:val="none"/>
        </w:rPr>
        <w:lastRenderedPageBreak/>
        <w:t>Use Note</w:t>
      </w:r>
    </w:p>
    <w:p w:rsidR="008B5691" w:rsidRPr="008B5691" w:rsidRDefault="008B5691" w:rsidP="008B5691"/>
    <w:p w:rsidR="00A23B2C" w:rsidRPr="008B5691" w:rsidRDefault="00A23B2C">
      <w:pPr>
        <w:jc w:val="both"/>
        <w:rPr>
          <w:rFonts w:ascii="Bookman Old Style" w:hAnsi="Bookman Old Style"/>
          <w:sz w:val="24"/>
          <w:szCs w:val="24"/>
        </w:rPr>
      </w:pPr>
      <w:r w:rsidRPr="008B5691">
        <w:rPr>
          <w:rFonts w:ascii="Bookman Old Style" w:hAnsi="Bookman Old Style"/>
          <w:sz w:val="24"/>
          <w:szCs w:val="24"/>
        </w:rPr>
        <w:t>This instruction is intended to be used</w:t>
      </w:r>
      <w:r w:rsidR="00BD0041" w:rsidRPr="008B5691">
        <w:rPr>
          <w:rFonts w:ascii="Bookman Old Style" w:hAnsi="Bookman Old Style"/>
          <w:sz w:val="24"/>
          <w:szCs w:val="24"/>
        </w:rPr>
        <w:t xml:space="preserve"> in cases claiming conversion of property</w:t>
      </w:r>
      <w:r w:rsidR="006147A1" w:rsidRPr="008B5691">
        <w:rPr>
          <w:rFonts w:ascii="Bookman Old Style" w:hAnsi="Bookman Old Style"/>
          <w:sz w:val="24"/>
          <w:szCs w:val="24"/>
        </w:rPr>
        <w:t xml:space="preserve"> or intentional interference with a chattel. </w:t>
      </w:r>
      <w:r w:rsidR="008A0B8F" w:rsidRPr="008B5691">
        <w:rPr>
          <w:rFonts w:ascii="Bookman Old Style" w:hAnsi="Bookman Old Style"/>
          <w:sz w:val="24"/>
          <w:szCs w:val="24"/>
        </w:rPr>
        <w:t>Instruction 18.03 (Intent)</w:t>
      </w:r>
      <w:r w:rsidR="00DF5FB7" w:rsidRPr="008B5691">
        <w:rPr>
          <w:rFonts w:ascii="Bookman Old Style" w:hAnsi="Bookman Old Style"/>
          <w:sz w:val="24"/>
          <w:szCs w:val="24"/>
        </w:rPr>
        <w:t xml:space="preserve"> </w:t>
      </w:r>
      <w:r w:rsidR="008A0B8F" w:rsidRPr="008B5691">
        <w:rPr>
          <w:rFonts w:ascii="Bookman Old Style" w:hAnsi="Bookman Old Style"/>
          <w:sz w:val="24"/>
          <w:szCs w:val="24"/>
        </w:rPr>
        <w:t xml:space="preserve">and </w:t>
      </w:r>
      <w:r w:rsidR="008B3943" w:rsidRPr="008B5691">
        <w:rPr>
          <w:rFonts w:ascii="Bookman Old Style" w:hAnsi="Bookman Old Style"/>
          <w:sz w:val="24"/>
          <w:szCs w:val="24"/>
        </w:rPr>
        <w:t>I</w:t>
      </w:r>
      <w:r w:rsidR="00DF5FB7" w:rsidRPr="008B5691">
        <w:rPr>
          <w:rFonts w:ascii="Bookman Old Style" w:hAnsi="Bookman Old Style"/>
          <w:sz w:val="24"/>
          <w:szCs w:val="24"/>
        </w:rPr>
        <w:t xml:space="preserve">nstruction 3.06 </w:t>
      </w:r>
      <w:r w:rsidR="008B3943" w:rsidRPr="008B5691">
        <w:rPr>
          <w:rFonts w:ascii="Bookman Old Style" w:hAnsi="Bookman Old Style"/>
          <w:sz w:val="24"/>
          <w:szCs w:val="24"/>
        </w:rPr>
        <w:t>(S</w:t>
      </w:r>
      <w:r w:rsidR="00DF5FB7" w:rsidRPr="008B5691">
        <w:rPr>
          <w:rFonts w:ascii="Bookman Old Style" w:hAnsi="Bookman Old Style"/>
          <w:sz w:val="24"/>
          <w:szCs w:val="24"/>
        </w:rPr>
        <w:t xml:space="preserve">ubstantial </w:t>
      </w:r>
      <w:r w:rsidR="008B3943" w:rsidRPr="008B5691">
        <w:rPr>
          <w:rFonts w:ascii="Bookman Old Style" w:hAnsi="Bookman Old Style"/>
          <w:sz w:val="24"/>
          <w:szCs w:val="24"/>
        </w:rPr>
        <w:t>F</w:t>
      </w:r>
      <w:r w:rsidR="00DF5FB7" w:rsidRPr="008B5691">
        <w:rPr>
          <w:rFonts w:ascii="Bookman Old Style" w:hAnsi="Bookman Old Style"/>
          <w:sz w:val="24"/>
          <w:szCs w:val="24"/>
        </w:rPr>
        <w:t>actor</w:t>
      </w:r>
      <w:r w:rsidR="008B3943" w:rsidRPr="008B5691">
        <w:rPr>
          <w:rFonts w:ascii="Bookman Old Style" w:hAnsi="Bookman Old Style"/>
          <w:sz w:val="24"/>
          <w:szCs w:val="24"/>
        </w:rPr>
        <w:t>)</w:t>
      </w:r>
      <w:r w:rsidR="00DF5FB7" w:rsidRPr="008B5691">
        <w:rPr>
          <w:rFonts w:ascii="Bookman Old Style" w:hAnsi="Bookman Old Style"/>
          <w:sz w:val="24"/>
          <w:szCs w:val="24"/>
        </w:rPr>
        <w:t xml:space="preserve"> should be given with </w:t>
      </w:r>
      <w:r w:rsidR="008B3943" w:rsidRPr="008B5691">
        <w:rPr>
          <w:rFonts w:ascii="Bookman Old Style" w:hAnsi="Bookman Old Style"/>
          <w:sz w:val="24"/>
          <w:szCs w:val="24"/>
        </w:rPr>
        <w:t xml:space="preserve">this </w:t>
      </w:r>
      <w:r w:rsidR="00DF5FB7" w:rsidRPr="008B5691">
        <w:rPr>
          <w:rFonts w:ascii="Bookman Old Style" w:hAnsi="Bookman Old Style"/>
          <w:sz w:val="24"/>
          <w:szCs w:val="24"/>
        </w:rPr>
        <w:t>instruction</w:t>
      </w:r>
      <w:r w:rsidR="008B3943" w:rsidRPr="008B5691">
        <w:rPr>
          <w:rFonts w:ascii="Bookman Old Style" w:hAnsi="Bookman Old Style"/>
          <w:sz w:val="24"/>
          <w:szCs w:val="24"/>
        </w:rPr>
        <w:t>.</w:t>
      </w:r>
    </w:p>
    <w:p w:rsidR="008B5691" w:rsidRDefault="008B5691">
      <w:pPr>
        <w:pStyle w:val="Heading1"/>
        <w:rPr>
          <w:b/>
          <w:sz w:val="24"/>
          <w:szCs w:val="24"/>
          <w:u w:val="none"/>
        </w:rPr>
      </w:pPr>
    </w:p>
    <w:p w:rsidR="00A23B2C" w:rsidRDefault="00A23B2C">
      <w:pPr>
        <w:pStyle w:val="Heading1"/>
        <w:rPr>
          <w:b/>
          <w:sz w:val="24"/>
          <w:szCs w:val="24"/>
          <w:u w:val="none"/>
        </w:rPr>
      </w:pPr>
      <w:r w:rsidRPr="008B5691">
        <w:rPr>
          <w:b/>
          <w:sz w:val="24"/>
          <w:szCs w:val="24"/>
          <w:u w:val="none"/>
        </w:rPr>
        <w:t>Comment</w:t>
      </w:r>
    </w:p>
    <w:p w:rsidR="008B5691" w:rsidRPr="008B5691" w:rsidRDefault="008B5691" w:rsidP="008B5691"/>
    <w:p w:rsidR="00A23B2C" w:rsidRPr="008B5691" w:rsidRDefault="008A57E9">
      <w:pPr>
        <w:jc w:val="both"/>
        <w:rPr>
          <w:rFonts w:ascii="Bookman Old Style" w:hAnsi="Bookman Old Style"/>
          <w:sz w:val="24"/>
          <w:szCs w:val="24"/>
        </w:rPr>
      </w:pPr>
      <w:r w:rsidRPr="008B5691">
        <w:rPr>
          <w:rFonts w:ascii="Bookman Old Style" w:hAnsi="Bookman Old Style"/>
          <w:sz w:val="24"/>
          <w:szCs w:val="24"/>
        </w:rPr>
        <w:t xml:space="preserve">“The tort of conversion is ‘an intentional exercise of dominion and control over a chattel which so seriously interferes with the right of another to control it that the actor may justly be required to pay the other the full value of the chattel.” </w:t>
      </w:r>
      <w:r w:rsidRPr="008B5691">
        <w:rPr>
          <w:rFonts w:ascii="Bookman Old Style" w:hAnsi="Bookman Old Style"/>
          <w:i/>
          <w:sz w:val="24"/>
          <w:szCs w:val="24"/>
        </w:rPr>
        <w:t>K &amp; K Recycling, Inc</w:t>
      </w:r>
      <w:r w:rsidRPr="008B5691">
        <w:rPr>
          <w:rFonts w:ascii="Bookman Old Style" w:hAnsi="Bookman Old Style"/>
          <w:sz w:val="24"/>
          <w:szCs w:val="24"/>
        </w:rPr>
        <w:t xml:space="preserve">. v. Alaska Gold </w:t>
      </w:r>
      <w:r w:rsidRPr="008B5691">
        <w:rPr>
          <w:rFonts w:ascii="Bookman Old Style" w:hAnsi="Bookman Old Style"/>
          <w:i/>
          <w:sz w:val="24"/>
          <w:szCs w:val="24"/>
        </w:rPr>
        <w:t>Co</w:t>
      </w:r>
      <w:r w:rsidRPr="008B5691">
        <w:rPr>
          <w:rFonts w:ascii="Bookman Old Style" w:hAnsi="Bookman Old Style"/>
          <w:sz w:val="24"/>
          <w:szCs w:val="24"/>
        </w:rPr>
        <w:t xml:space="preserve">., 80 P.3d 702, 717. (Alaska 2003). </w:t>
      </w:r>
      <w:r w:rsidRPr="008B5691">
        <w:rPr>
          <w:rFonts w:ascii="Bookman Old Style" w:hAnsi="Bookman Old Style"/>
          <w:i/>
          <w:sz w:val="24"/>
          <w:szCs w:val="24"/>
        </w:rPr>
        <w:t>See</w:t>
      </w:r>
      <w:r w:rsidRPr="008B5691">
        <w:rPr>
          <w:rFonts w:ascii="Bookman Old Style" w:hAnsi="Bookman Old Style"/>
          <w:sz w:val="24"/>
          <w:szCs w:val="24"/>
        </w:rPr>
        <w:t xml:space="preserve"> </w:t>
      </w:r>
      <w:r w:rsidR="00A23B2C" w:rsidRPr="008B5691">
        <w:rPr>
          <w:rFonts w:ascii="Bookman Old Style" w:hAnsi="Bookman Old Style"/>
          <w:i/>
          <w:sz w:val="24"/>
          <w:szCs w:val="24"/>
        </w:rPr>
        <w:t>McKibben v. Mohawk Oil</w:t>
      </w:r>
      <w:r w:rsidR="00A23B2C" w:rsidRPr="008B5691">
        <w:rPr>
          <w:rFonts w:ascii="Bookman Old Style" w:hAnsi="Bookman Old Style"/>
          <w:sz w:val="24"/>
          <w:szCs w:val="24"/>
        </w:rPr>
        <w:t xml:space="preserve">, 667 P.2d 1223, 1228 (Alaska 1983)(quoting Restatement, </w:t>
      </w:r>
      <w:r w:rsidR="00A23B2C" w:rsidRPr="008B5691">
        <w:rPr>
          <w:rFonts w:ascii="Bookman Old Style" w:hAnsi="Bookman Old Style"/>
          <w:i/>
          <w:sz w:val="24"/>
          <w:szCs w:val="24"/>
        </w:rPr>
        <w:t>supra,</w:t>
      </w:r>
      <w:r w:rsidR="00A23B2C" w:rsidRPr="008B5691">
        <w:rPr>
          <w:rFonts w:ascii="Bookman Old Style" w:hAnsi="Bookman Old Style"/>
          <w:sz w:val="24"/>
          <w:szCs w:val="24"/>
        </w:rPr>
        <w:t xml:space="preserve"> at § 222A); </w:t>
      </w:r>
      <w:r w:rsidR="00A23B2C" w:rsidRPr="008B5691">
        <w:rPr>
          <w:rFonts w:ascii="Bookman Old Style" w:hAnsi="Bookman Old Style"/>
          <w:i/>
          <w:sz w:val="24"/>
          <w:szCs w:val="24"/>
        </w:rPr>
        <w:t>Dressel v. Weeks</w:t>
      </w:r>
      <w:r w:rsidR="00A23B2C" w:rsidRPr="008B5691">
        <w:rPr>
          <w:rFonts w:ascii="Bookman Old Style" w:hAnsi="Bookman Old Style"/>
          <w:sz w:val="24"/>
          <w:szCs w:val="24"/>
        </w:rPr>
        <w:t xml:space="preserve">, 779 P.2d 324, 328 (Alaska 1989). Trespasses are less serious interferences.  </w:t>
      </w:r>
      <w:r w:rsidR="00A23B2C" w:rsidRPr="008B5691">
        <w:rPr>
          <w:rFonts w:ascii="Bookman Old Style" w:hAnsi="Bookman Old Style"/>
          <w:i/>
          <w:sz w:val="24"/>
          <w:szCs w:val="24"/>
        </w:rPr>
        <w:t xml:space="preserve">See </w:t>
      </w:r>
      <w:r w:rsidR="00A23B2C" w:rsidRPr="008B5691">
        <w:rPr>
          <w:rFonts w:ascii="Bookman Old Style" w:hAnsi="Bookman Old Style"/>
          <w:sz w:val="24"/>
          <w:szCs w:val="24"/>
        </w:rPr>
        <w:t xml:space="preserve">Restatement, </w:t>
      </w:r>
      <w:r w:rsidR="00A23B2C" w:rsidRPr="008B5691">
        <w:rPr>
          <w:rFonts w:ascii="Bookman Old Style" w:hAnsi="Bookman Old Style"/>
          <w:i/>
          <w:sz w:val="24"/>
          <w:szCs w:val="24"/>
        </w:rPr>
        <w:t>supra</w:t>
      </w:r>
      <w:r w:rsidR="00A23B2C" w:rsidRPr="008B5691">
        <w:rPr>
          <w:rFonts w:ascii="Bookman Old Style" w:hAnsi="Bookman Old Style"/>
          <w:sz w:val="24"/>
          <w:szCs w:val="24"/>
        </w:rPr>
        <w:t>, at § 222A comment c.</w:t>
      </w:r>
    </w:p>
    <w:p w:rsidR="00A23B2C" w:rsidRPr="008B5691" w:rsidRDefault="00A23B2C">
      <w:pPr>
        <w:jc w:val="both"/>
        <w:rPr>
          <w:rFonts w:ascii="Bookman Old Style" w:hAnsi="Bookman Old Style"/>
          <w:sz w:val="24"/>
          <w:szCs w:val="24"/>
        </w:rPr>
      </w:pPr>
    </w:p>
    <w:p w:rsidR="00A23B2C" w:rsidRPr="008B5691" w:rsidRDefault="00BD0041">
      <w:pPr>
        <w:jc w:val="both"/>
        <w:rPr>
          <w:rFonts w:ascii="Bookman Old Style" w:hAnsi="Bookman Old Style"/>
          <w:sz w:val="24"/>
          <w:szCs w:val="24"/>
        </w:rPr>
      </w:pPr>
      <w:r w:rsidRPr="008B5691">
        <w:rPr>
          <w:rFonts w:ascii="Bookman Old Style" w:hAnsi="Bookman Old Style"/>
          <w:sz w:val="24"/>
          <w:szCs w:val="24"/>
        </w:rPr>
        <w:t xml:space="preserve">The elements of conversion set forth in this instruction are taken from </w:t>
      </w:r>
      <w:r w:rsidRPr="008B5691">
        <w:rPr>
          <w:rFonts w:ascii="Bookman Old Style" w:hAnsi="Bookman Old Style"/>
          <w:i/>
          <w:sz w:val="24"/>
          <w:szCs w:val="24"/>
        </w:rPr>
        <w:t>Silvers v. Silvers</w:t>
      </w:r>
      <w:r w:rsidRPr="008B5691">
        <w:rPr>
          <w:rFonts w:ascii="Bookman Old Style" w:hAnsi="Bookman Old Style"/>
          <w:sz w:val="24"/>
          <w:szCs w:val="24"/>
        </w:rPr>
        <w:t>, 999 P.2d 786, 793, (Alaska 2000)</w:t>
      </w:r>
      <w:r w:rsidR="008B3943" w:rsidRPr="008B5691">
        <w:rPr>
          <w:rFonts w:ascii="Bookman Old Style" w:hAnsi="Bookman Old Style"/>
          <w:sz w:val="24"/>
          <w:szCs w:val="24"/>
        </w:rPr>
        <w:t>;</w:t>
      </w:r>
      <w:r w:rsidR="008B3943" w:rsidRPr="008B5691">
        <w:rPr>
          <w:rFonts w:ascii="Bookman Old Style" w:hAnsi="Bookman Old Style"/>
          <w:i/>
          <w:sz w:val="24"/>
          <w:szCs w:val="24"/>
        </w:rPr>
        <w:t>see</w:t>
      </w:r>
      <w:r w:rsidR="006147A1" w:rsidRPr="008B5691">
        <w:rPr>
          <w:rFonts w:ascii="Bookman Old Style" w:hAnsi="Bookman Old Style"/>
          <w:sz w:val="24"/>
          <w:szCs w:val="24"/>
        </w:rPr>
        <w:t xml:space="preserve"> </w:t>
      </w:r>
      <w:r w:rsidR="006147A1" w:rsidRPr="008B5691">
        <w:rPr>
          <w:rFonts w:ascii="Bookman Old Style" w:hAnsi="Bookman Old Style"/>
          <w:i/>
          <w:sz w:val="24"/>
          <w:szCs w:val="24"/>
        </w:rPr>
        <w:t>K &amp; K Recycling, Inc. v. Alaska Gold Co</w:t>
      </w:r>
      <w:r w:rsidR="006147A1" w:rsidRPr="008B5691">
        <w:rPr>
          <w:rFonts w:ascii="Bookman Old Style" w:hAnsi="Bookman Old Style"/>
          <w:sz w:val="24"/>
          <w:szCs w:val="24"/>
        </w:rPr>
        <w:t xml:space="preserve">., 80 P.3d 702, 717 (Alaska 2003). </w:t>
      </w:r>
      <w:r w:rsidR="00A23B2C" w:rsidRPr="008B5691">
        <w:rPr>
          <w:rFonts w:ascii="Bookman Old Style" w:hAnsi="Bookman Old Style"/>
          <w:sz w:val="24"/>
          <w:szCs w:val="24"/>
        </w:rPr>
        <w:t xml:space="preserve">Trespass to chattels and conversion are actions which seek to protect interests in the physical condition, use, and possession of personality.  F. Harper, F. James &amp; 0. Gray, </w:t>
      </w:r>
      <w:r w:rsidR="00A23B2C" w:rsidRPr="008B5691">
        <w:rPr>
          <w:rFonts w:ascii="Bookman Old Style" w:hAnsi="Bookman Old Style"/>
          <w:i/>
          <w:sz w:val="24"/>
          <w:szCs w:val="24"/>
        </w:rPr>
        <w:t>The Law of Torts</w:t>
      </w:r>
      <w:r w:rsidR="00A23B2C" w:rsidRPr="008B5691">
        <w:rPr>
          <w:rFonts w:ascii="Bookman Old Style" w:hAnsi="Bookman Old Style"/>
          <w:sz w:val="24"/>
          <w:szCs w:val="24"/>
          <w:u w:val="single"/>
        </w:rPr>
        <w:t xml:space="preserve"> </w:t>
      </w:r>
      <w:r w:rsidR="00A23B2C" w:rsidRPr="008B5691">
        <w:rPr>
          <w:rFonts w:ascii="Bookman Old Style" w:hAnsi="Bookman Old Style"/>
          <w:sz w:val="24"/>
          <w:szCs w:val="24"/>
        </w:rPr>
        <w:t>130 (1986)</w:t>
      </w:r>
      <w:r w:rsidR="008A0B8F" w:rsidRPr="008B5691">
        <w:rPr>
          <w:rFonts w:ascii="Bookman Old Style" w:hAnsi="Bookman Old Style"/>
          <w:sz w:val="24"/>
          <w:szCs w:val="24"/>
        </w:rPr>
        <w:t xml:space="preserve"> [hereinafter Harper &amp; James]. </w:t>
      </w:r>
      <w:r w:rsidR="00A23B2C" w:rsidRPr="008B5691">
        <w:rPr>
          <w:rFonts w:ascii="Bookman Old Style" w:hAnsi="Bookman Old Style"/>
          <w:sz w:val="24"/>
          <w:szCs w:val="24"/>
        </w:rPr>
        <w:t xml:space="preserve">The Restatement lists the protected interests in chattels as including: "(1) the interest in the physical condition and use of chattels, (2) the interest in the retention of the possession of chattels, and (3) the interest in the availability of chattels to immediate or future possession." Restatement, </w:t>
      </w:r>
      <w:r w:rsidR="00A23B2C" w:rsidRPr="008B5691">
        <w:rPr>
          <w:rFonts w:ascii="Bookman Old Style" w:hAnsi="Bookman Old Style"/>
          <w:i/>
          <w:sz w:val="24"/>
          <w:szCs w:val="24"/>
        </w:rPr>
        <w:t>supra,</w:t>
      </w:r>
      <w:r w:rsidR="00A23B2C" w:rsidRPr="008B5691">
        <w:rPr>
          <w:rFonts w:ascii="Bookman Old Style" w:hAnsi="Bookman Old Style"/>
          <w:sz w:val="24"/>
          <w:szCs w:val="24"/>
        </w:rPr>
        <w:t xml:space="preserve"> at 413 scope note.  Both the possessor and anyone entitled to possession of an item have interests in the item, although these interests are not identical.  </w:t>
      </w:r>
      <w:r w:rsidR="00A23B2C" w:rsidRPr="008B5691">
        <w:rPr>
          <w:rFonts w:ascii="Bookman Old Style" w:hAnsi="Bookman Old Style"/>
          <w:i/>
          <w:sz w:val="24"/>
          <w:szCs w:val="24"/>
        </w:rPr>
        <w:t>See id.</w:t>
      </w:r>
      <w:r w:rsidR="00A23B2C" w:rsidRPr="008B5691">
        <w:rPr>
          <w:rFonts w:ascii="Bookman Old Style" w:hAnsi="Bookman Old Style"/>
          <w:sz w:val="24"/>
          <w:szCs w:val="24"/>
        </w:rPr>
        <w:t xml:space="preserve"> at 413</w:t>
      </w:r>
      <w:r w:rsidR="00A23B2C" w:rsidRPr="008B5691">
        <w:rPr>
          <w:rFonts w:ascii="Bookman Old Style" w:hAnsi="Bookman Old Style"/>
          <w:sz w:val="24"/>
          <w:szCs w:val="24"/>
        </w:rPr>
        <w:noBreakHyphen/>
        <w:t>14.</w:t>
      </w:r>
    </w:p>
    <w:p w:rsidR="00A23B2C" w:rsidRPr="008B5691" w:rsidRDefault="00A23B2C">
      <w:pPr>
        <w:jc w:val="both"/>
        <w:rPr>
          <w:rFonts w:ascii="Bookman Old Style" w:hAnsi="Bookman Old Style"/>
          <w:sz w:val="24"/>
          <w:szCs w:val="24"/>
        </w:rPr>
      </w:pPr>
    </w:p>
    <w:p w:rsidR="00A23B2C" w:rsidRPr="008B5691" w:rsidRDefault="00A23B2C">
      <w:pPr>
        <w:widowControl w:val="0"/>
        <w:jc w:val="both"/>
        <w:rPr>
          <w:rFonts w:ascii="Bookman Old Style" w:hAnsi="Bookman Old Style"/>
          <w:sz w:val="24"/>
          <w:szCs w:val="24"/>
        </w:rPr>
      </w:pPr>
      <w:r w:rsidRPr="008B5691">
        <w:rPr>
          <w:rFonts w:ascii="Bookman Old Style" w:hAnsi="Bookman Old Style"/>
          <w:sz w:val="24"/>
          <w:szCs w:val="24"/>
        </w:rPr>
        <w:t xml:space="preserve">The first requirement is that the plaintiff establish a possessory interest in the item at the time of the wrongful act.  </w:t>
      </w:r>
      <w:r w:rsidRPr="008B5691">
        <w:rPr>
          <w:rFonts w:ascii="Bookman Old Style" w:hAnsi="Bookman Old Style"/>
          <w:i/>
          <w:sz w:val="24"/>
          <w:szCs w:val="24"/>
        </w:rPr>
        <w:t>McKibben v. Mohawk Oil Co</w:t>
      </w:r>
      <w:r w:rsidRPr="008B5691">
        <w:rPr>
          <w:rFonts w:ascii="Bookman Old Style" w:hAnsi="Bookman Old Style"/>
          <w:sz w:val="24"/>
          <w:szCs w:val="24"/>
        </w:rPr>
        <w:t xml:space="preserve">., 667 P.2d at 1228.  The Alaska Supreme Court has not enumerated the factors to be considered to determine whether the plaintiff has such an interest.  The Restatement states that "a person who is in possession of a chattel is one who has physical control of the chattel with the intent to exercise such control on his own behalf, or on behalf of another." Restatement, </w:t>
      </w:r>
      <w:r w:rsidRPr="008B5691">
        <w:rPr>
          <w:rFonts w:ascii="Bookman Old Style" w:hAnsi="Bookman Old Style"/>
          <w:i/>
          <w:sz w:val="24"/>
          <w:szCs w:val="24"/>
        </w:rPr>
        <w:t>supra</w:t>
      </w:r>
      <w:r w:rsidRPr="008B5691">
        <w:rPr>
          <w:rFonts w:ascii="Bookman Old Style" w:hAnsi="Bookman Old Style"/>
          <w:sz w:val="24"/>
          <w:szCs w:val="24"/>
        </w:rPr>
        <w:t>, at § 216.  The plaintiff's possessory interest must be superior to that of the defendant.</w:t>
      </w:r>
    </w:p>
    <w:p w:rsidR="00A23B2C" w:rsidRPr="008B5691" w:rsidRDefault="00A23B2C">
      <w:pPr>
        <w:widowControl w:val="0"/>
        <w:jc w:val="both"/>
        <w:rPr>
          <w:rFonts w:ascii="Bookman Old Style" w:hAnsi="Bookman Old Style"/>
          <w:sz w:val="24"/>
          <w:szCs w:val="24"/>
        </w:rPr>
      </w:pPr>
    </w:p>
    <w:p w:rsidR="00A23B2C" w:rsidRPr="008B5691" w:rsidRDefault="00A23B2C">
      <w:pPr>
        <w:jc w:val="both"/>
        <w:rPr>
          <w:rFonts w:ascii="Bookman Old Style" w:hAnsi="Bookman Old Style"/>
          <w:sz w:val="24"/>
          <w:szCs w:val="24"/>
        </w:rPr>
      </w:pPr>
      <w:r w:rsidRPr="008B5691">
        <w:rPr>
          <w:rFonts w:ascii="Bookman Old Style" w:hAnsi="Bookman Old Style"/>
          <w:i/>
          <w:sz w:val="24"/>
          <w:szCs w:val="24"/>
        </w:rPr>
        <w:t>See Weaver v. O'Meara Motor Co</w:t>
      </w:r>
      <w:r w:rsidRPr="008B5691">
        <w:rPr>
          <w:rFonts w:ascii="Bookman Old Style" w:hAnsi="Bookman Old Style"/>
          <w:sz w:val="24"/>
          <w:szCs w:val="24"/>
        </w:rPr>
        <w:t>., 452 P.2d 87, 92 (1969) (repossession under terms of contract not a conversion).</w:t>
      </w:r>
    </w:p>
    <w:p w:rsidR="00A23B2C" w:rsidRPr="008B5691" w:rsidRDefault="00A23B2C">
      <w:pPr>
        <w:rPr>
          <w:rFonts w:ascii="Bookman Old Style" w:hAnsi="Bookman Old Style"/>
          <w:sz w:val="24"/>
          <w:szCs w:val="24"/>
        </w:rPr>
      </w:pPr>
    </w:p>
    <w:p w:rsidR="00A23B2C" w:rsidRPr="008B5691" w:rsidRDefault="00A23B2C">
      <w:pPr>
        <w:jc w:val="both"/>
        <w:rPr>
          <w:rFonts w:ascii="Bookman Old Style" w:hAnsi="Bookman Old Style"/>
          <w:sz w:val="24"/>
          <w:szCs w:val="24"/>
        </w:rPr>
      </w:pPr>
      <w:r w:rsidRPr="008B5691">
        <w:rPr>
          <w:rFonts w:ascii="Bookman Old Style" w:hAnsi="Bookman Old Style"/>
          <w:sz w:val="24"/>
          <w:szCs w:val="24"/>
        </w:rPr>
        <w:t xml:space="preserve">The instruction can also be used when the plaintiff has only a right to future possession.  </w:t>
      </w:r>
      <w:r w:rsidRPr="008B5691">
        <w:rPr>
          <w:rFonts w:ascii="Bookman Old Style" w:hAnsi="Bookman Old Style"/>
          <w:i/>
          <w:sz w:val="24"/>
          <w:szCs w:val="24"/>
        </w:rPr>
        <w:t>McKibben v. Mohawk Oil Co</w:t>
      </w:r>
      <w:r w:rsidRPr="008B5691">
        <w:rPr>
          <w:rFonts w:ascii="Bookman Old Style" w:hAnsi="Bookman Old Style"/>
          <w:sz w:val="24"/>
          <w:szCs w:val="24"/>
        </w:rPr>
        <w:t xml:space="preserve">., 667 P.2d at 1228; </w:t>
      </w:r>
      <w:r w:rsidRPr="008B5691">
        <w:rPr>
          <w:rFonts w:ascii="Bookman Old Style" w:hAnsi="Bookman Old Style"/>
          <w:i/>
          <w:sz w:val="24"/>
          <w:szCs w:val="24"/>
        </w:rPr>
        <w:t>see also</w:t>
      </w:r>
      <w:r w:rsidRPr="008B5691">
        <w:rPr>
          <w:rFonts w:ascii="Bookman Old Style" w:hAnsi="Bookman Old Style"/>
          <w:sz w:val="24"/>
          <w:szCs w:val="24"/>
        </w:rPr>
        <w:t xml:space="preserve"> </w:t>
      </w:r>
      <w:r w:rsidRPr="008B5691">
        <w:rPr>
          <w:rFonts w:ascii="Bookman Old Style" w:hAnsi="Bookman Old Style"/>
          <w:sz w:val="24"/>
          <w:szCs w:val="24"/>
        </w:rPr>
        <w:lastRenderedPageBreak/>
        <w:t xml:space="preserve">Restatement, </w:t>
      </w:r>
      <w:r w:rsidRPr="008B5691">
        <w:rPr>
          <w:rFonts w:ascii="Bookman Old Style" w:hAnsi="Bookman Old Style"/>
          <w:i/>
          <w:sz w:val="24"/>
          <w:szCs w:val="24"/>
        </w:rPr>
        <w:t>supra</w:t>
      </w:r>
      <w:r w:rsidRPr="008B5691">
        <w:rPr>
          <w:rFonts w:ascii="Bookman Old Style" w:hAnsi="Bookman Old Style"/>
          <w:sz w:val="24"/>
          <w:szCs w:val="24"/>
        </w:rPr>
        <w:t>, at § 220, 243.  For example, "The defendant received money from X on behalf of the plaintiff."</w:t>
      </w:r>
    </w:p>
    <w:p w:rsidR="00A23B2C" w:rsidRPr="008B5691" w:rsidRDefault="00A23B2C">
      <w:pPr>
        <w:rPr>
          <w:rFonts w:ascii="Bookman Old Style" w:hAnsi="Bookman Old Style"/>
          <w:sz w:val="24"/>
          <w:szCs w:val="24"/>
        </w:rPr>
      </w:pPr>
    </w:p>
    <w:p w:rsidR="00A23B2C" w:rsidRPr="008B5691" w:rsidRDefault="00A23B2C">
      <w:pPr>
        <w:jc w:val="both"/>
        <w:rPr>
          <w:rFonts w:ascii="Bookman Old Style" w:hAnsi="Bookman Old Style"/>
          <w:sz w:val="24"/>
          <w:szCs w:val="24"/>
        </w:rPr>
      </w:pPr>
      <w:r w:rsidRPr="008B5691">
        <w:rPr>
          <w:rFonts w:ascii="Bookman Old Style" w:hAnsi="Bookman Old Style"/>
          <w:sz w:val="24"/>
          <w:szCs w:val="24"/>
        </w:rPr>
        <w:t xml:space="preserve">The second element focuses on the conduct of the defendant.  The Restatement, </w:t>
      </w:r>
      <w:r w:rsidRPr="008B5691">
        <w:rPr>
          <w:rFonts w:ascii="Bookman Old Style" w:hAnsi="Bookman Old Style"/>
          <w:i/>
          <w:sz w:val="24"/>
          <w:szCs w:val="24"/>
        </w:rPr>
        <w:t>supra</w:t>
      </w:r>
      <w:r w:rsidRPr="008B5691">
        <w:rPr>
          <w:rFonts w:ascii="Bookman Old Style" w:hAnsi="Bookman Old Style"/>
          <w:sz w:val="24"/>
          <w:szCs w:val="24"/>
        </w:rPr>
        <w:t>, at § 223 lists various acts that can constitute a conversion:</w:t>
      </w:r>
    </w:p>
    <w:p w:rsidR="00A23B2C" w:rsidRPr="008B5691" w:rsidRDefault="00A23B2C">
      <w:pPr>
        <w:rPr>
          <w:rFonts w:ascii="Bookman Old Style" w:hAnsi="Bookman Old Style"/>
          <w:sz w:val="24"/>
          <w:szCs w:val="24"/>
        </w:rPr>
      </w:pPr>
    </w:p>
    <w:p w:rsidR="00A23B2C" w:rsidRPr="008B5691" w:rsidRDefault="00A23B2C">
      <w:pPr>
        <w:tabs>
          <w:tab w:val="left" w:pos="720"/>
          <w:tab w:val="left" w:pos="3000"/>
        </w:tabs>
        <w:ind w:left="720" w:hanging="720"/>
        <w:jc w:val="both"/>
        <w:rPr>
          <w:rFonts w:ascii="Bookman Old Style" w:hAnsi="Bookman Old Style"/>
          <w:sz w:val="24"/>
          <w:szCs w:val="24"/>
        </w:rPr>
      </w:pPr>
      <w:r w:rsidRPr="008B5691">
        <w:rPr>
          <w:rFonts w:ascii="Bookman Old Style" w:hAnsi="Bookman Old Style"/>
          <w:sz w:val="24"/>
          <w:szCs w:val="24"/>
        </w:rPr>
        <w:t>(a)</w:t>
      </w:r>
      <w:r w:rsidRPr="008B5691">
        <w:rPr>
          <w:rFonts w:ascii="Bookman Old Style" w:hAnsi="Bookman Old Style"/>
          <w:sz w:val="24"/>
          <w:szCs w:val="24"/>
        </w:rPr>
        <w:tab/>
        <w:t>dispossessing another of a chattel as stated in § 221 and 222;</w:t>
      </w:r>
    </w:p>
    <w:p w:rsidR="00A23B2C" w:rsidRPr="008B5691" w:rsidRDefault="00A23B2C">
      <w:pPr>
        <w:tabs>
          <w:tab w:val="left" w:pos="720"/>
          <w:tab w:val="left" w:pos="3000"/>
        </w:tabs>
        <w:ind w:left="720" w:hanging="720"/>
        <w:rPr>
          <w:rFonts w:ascii="Bookman Old Style" w:hAnsi="Bookman Old Style"/>
          <w:sz w:val="24"/>
          <w:szCs w:val="24"/>
        </w:rPr>
      </w:pPr>
    </w:p>
    <w:p w:rsidR="00A23B2C" w:rsidRPr="008B5691" w:rsidRDefault="00A23B2C">
      <w:pPr>
        <w:tabs>
          <w:tab w:val="left" w:pos="720"/>
          <w:tab w:val="left" w:pos="3000"/>
        </w:tabs>
        <w:ind w:left="720" w:hanging="720"/>
        <w:jc w:val="both"/>
        <w:rPr>
          <w:rFonts w:ascii="Bookman Old Style" w:hAnsi="Bookman Old Style"/>
          <w:sz w:val="24"/>
          <w:szCs w:val="24"/>
        </w:rPr>
      </w:pPr>
      <w:r w:rsidRPr="008B5691">
        <w:rPr>
          <w:rFonts w:ascii="Bookman Old Style" w:hAnsi="Bookman Old Style"/>
          <w:sz w:val="24"/>
          <w:szCs w:val="24"/>
        </w:rPr>
        <w:t>(b)</w:t>
      </w:r>
      <w:r w:rsidRPr="008B5691">
        <w:rPr>
          <w:rFonts w:ascii="Bookman Old Style" w:hAnsi="Bookman Old Style"/>
          <w:sz w:val="24"/>
          <w:szCs w:val="24"/>
        </w:rPr>
        <w:tab/>
        <w:t>destroying or altering a chattel as stated in § 226;</w:t>
      </w:r>
    </w:p>
    <w:p w:rsidR="00A23B2C" w:rsidRPr="008B5691" w:rsidRDefault="00A23B2C">
      <w:pPr>
        <w:tabs>
          <w:tab w:val="left" w:pos="720"/>
          <w:tab w:val="left" w:pos="3000"/>
        </w:tabs>
        <w:ind w:left="720" w:hanging="720"/>
        <w:rPr>
          <w:rFonts w:ascii="Bookman Old Style" w:hAnsi="Bookman Old Style"/>
          <w:sz w:val="24"/>
          <w:szCs w:val="24"/>
        </w:rPr>
      </w:pPr>
    </w:p>
    <w:p w:rsidR="00A23B2C" w:rsidRPr="008B5691" w:rsidRDefault="00A23B2C">
      <w:pPr>
        <w:tabs>
          <w:tab w:val="left" w:pos="720"/>
          <w:tab w:val="left" w:pos="2955"/>
          <w:tab w:val="right" w:pos="10185"/>
        </w:tabs>
        <w:ind w:left="720" w:hanging="720"/>
        <w:jc w:val="both"/>
        <w:rPr>
          <w:rFonts w:ascii="Bookman Old Style" w:hAnsi="Bookman Old Style"/>
          <w:sz w:val="24"/>
          <w:szCs w:val="24"/>
        </w:rPr>
      </w:pPr>
      <w:r w:rsidRPr="008B5691">
        <w:rPr>
          <w:rFonts w:ascii="Bookman Old Style" w:hAnsi="Bookman Old Style"/>
          <w:sz w:val="24"/>
          <w:szCs w:val="24"/>
        </w:rPr>
        <w:t>(c)</w:t>
      </w:r>
      <w:r w:rsidRPr="008B5691">
        <w:rPr>
          <w:rFonts w:ascii="Bookman Old Style" w:hAnsi="Bookman Old Style"/>
          <w:sz w:val="24"/>
          <w:szCs w:val="24"/>
        </w:rPr>
        <w:tab/>
        <w:t>using a chattel as stated in § 227 and 228;</w:t>
      </w:r>
    </w:p>
    <w:p w:rsidR="00A23B2C" w:rsidRPr="008B5691" w:rsidRDefault="00A23B2C">
      <w:pPr>
        <w:tabs>
          <w:tab w:val="left" w:pos="720"/>
          <w:tab w:val="left" w:pos="2955"/>
          <w:tab w:val="right" w:pos="10185"/>
        </w:tabs>
        <w:ind w:left="720" w:hanging="720"/>
        <w:rPr>
          <w:rFonts w:ascii="Bookman Old Style" w:hAnsi="Bookman Old Style"/>
          <w:sz w:val="24"/>
          <w:szCs w:val="24"/>
        </w:rPr>
      </w:pPr>
    </w:p>
    <w:p w:rsidR="00A23B2C" w:rsidRPr="008B5691" w:rsidRDefault="00A23B2C">
      <w:pPr>
        <w:tabs>
          <w:tab w:val="left" w:pos="720"/>
          <w:tab w:val="left" w:pos="3000"/>
        </w:tabs>
        <w:ind w:left="720" w:hanging="720"/>
        <w:jc w:val="both"/>
        <w:rPr>
          <w:rFonts w:ascii="Bookman Old Style" w:hAnsi="Bookman Old Style"/>
          <w:sz w:val="24"/>
          <w:szCs w:val="24"/>
        </w:rPr>
      </w:pPr>
      <w:r w:rsidRPr="008B5691">
        <w:rPr>
          <w:rFonts w:ascii="Bookman Old Style" w:hAnsi="Bookman Old Style"/>
          <w:sz w:val="24"/>
          <w:szCs w:val="24"/>
        </w:rPr>
        <w:t>(d)</w:t>
      </w:r>
      <w:r w:rsidRPr="008B5691">
        <w:rPr>
          <w:rFonts w:ascii="Bookman Old Style" w:hAnsi="Bookman Old Style"/>
          <w:sz w:val="24"/>
          <w:szCs w:val="24"/>
        </w:rPr>
        <w:tab/>
        <w:t>receiving a chattel as stated in § 229 and 231;</w:t>
      </w:r>
    </w:p>
    <w:p w:rsidR="00A23B2C" w:rsidRPr="008B5691" w:rsidRDefault="00A23B2C">
      <w:pPr>
        <w:tabs>
          <w:tab w:val="left" w:pos="720"/>
          <w:tab w:val="left" w:pos="3000"/>
        </w:tabs>
        <w:ind w:left="720" w:hanging="720"/>
        <w:rPr>
          <w:rFonts w:ascii="Bookman Old Style" w:hAnsi="Bookman Old Style"/>
          <w:sz w:val="24"/>
          <w:szCs w:val="24"/>
        </w:rPr>
      </w:pPr>
    </w:p>
    <w:p w:rsidR="00A23B2C" w:rsidRPr="008B5691" w:rsidRDefault="00A23B2C">
      <w:pPr>
        <w:tabs>
          <w:tab w:val="left" w:pos="720"/>
          <w:tab w:val="left" w:pos="2955"/>
          <w:tab w:val="right" w:pos="10185"/>
        </w:tabs>
        <w:ind w:left="720" w:hanging="720"/>
        <w:jc w:val="both"/>
        <w:rPr>
          <w:rFonts w:ascii="Bookman Old Style" w:hAnsi="Bookman Old Style"/>
          <w:sz w:val="24"/>
          <w:szCs w:val="24"/>
        </w:rPr>
      </w:pPr>
      <w:r w:rsidRPr="008B5691">
        <w:rPr>
          <w:rFonts w:ascii="Bookman Old Style" w:hAnsi="Bookman Old Style"/>
          <w:sz w:val="24"/>
          <w:szCs w:val="24"/>
        </w:rPr>
        <w:t>(e)</w:t>
      </w:r>
      <w:r w:rsidRPr="008B5691">
        <w:rPr>
          <w:rFonts w:ascii="Bookman Old Style" w:hAnsi="Bookman Old Style"/>
          <w:sz w:val="24"/>
          <w:szCs w:val="24"/>
        </w:rPr>
        <w:tab/>
        <w:t>disposing of a chattel as stated in § 233;</w:t>
      </w:r>
    </w:p>
    <w:p w:rsidR="00A23B2C" w:rsidRPr="008B5691" w:rsidRDefault="00A23B2C">
      <w:pPr>
        <w:tabs>
          <w:tab w:val="left" w:pos="720"/>
          <w:tab w:val="left" w:pos="2955"/>
          <w:tab w:val="right" w:pos="10185"/>
        </w:tabs>
        <w:ind w:left="720" w:hanging="720"/>
        <w:rPr>
          <w:rFonts w:ascii="Bookman Old Style" w:hAnsi="Bookman Old Style"/>
          <w:sz w:val="24"/>
          <w:szCs w:val="24"/>
        </w:rPr>
      </w:pPr>
    </w:p>
    <w:p w:rsidR="00A23B2C" w:rsidRPr="008B5691" w:rsidRDefault="00A23B2C">
      <w:pPr>
        <w:tabs>
          <w:tab w:val="left" w:pos="720"/>
          <w:tab w:val="left" w:pos="3000"/>
        </w:tabs>
        <w:ind w:left="720" w:hanging="720"/>
        <w:jc w:val="both"/>
        <w:rPr>
          <w:rFonts w:ascii="Bookman Old Style" w:hAnsi="Bookman Old Style"/>
          <w:sz w:val="24"/>
          <w:szCs w:val="24"/>
        </w:rPr>
      </w:pPr>
      <w:r w:rsidRPr="008B5691">
        <w:rPr>
          <w:rFonts w:ascii="Bookman Old Style" w:hAnsi="Bookman Old Style"/>
          <w:sz w:val="24"/>
          <w:szCs w:val="24"/>
        </w:rPr>
        <w:t>(f)</w:t>
      </w:r>
      <w:r w:rsidRPr="008B5691">
        <w:rPr>
          <w:rFonts w:ascii="Bookman Old Style" w:hAnsi="Bookman Old Style"/>
          <w:sz w:val="24"/>
          <w:szCs w:val="24"/>
        </w:rPr>
        <w:tab/>
        <w:t>misdelivering a chattel as stated in § 234 and 235 (See Instruction 21.07B);</w:t>
      </w:r>
    </w:p>
    <w:p w:rsidR="00A23B2C" w:rsidRPr="008B5691" w:rsidRDefault="00A23B2C">
      <w:pPr>
        <w:tabs>
          <w:tab w:val="left" w:pos="720"/>
          <w:tab w:val="left" w:pos="3000"/>
        </w:tabs>
        <w:ind w:left="720" w:hanging="720"/>
        <w:rPr>
          <w:rFonts w:ascii="Bookman Old Style" w:hAnsi="Bookman Old Style"/>
          <w:sz w:val="24"/>
          <w:szCs w:val="24"/>
        </w:rPr>
      </w:pPr>
    </w:p>
    <w:p w:rsidR="00A23B2C" w:rsidRPr="008B5691" w:rsidRDefault="00A23B2C">
      <w:pPr>
        <w:tabs>
          <w:tab w:val="left" w:pos="720"/>
          <w:tab w:val="left" w:pos="3000"/>
        </w:tabs>
        <w:ind w:left="720" w:hanging="720"/>
        <w:jc w:val="both"/>
        <w:rPr>
          <w:rFonts w:ascii="Bookman Old Style" w:hAnsi="Bookman Old Style"/>
          <w:sz w:val="24"/>
          <w:szCs w:val="24"/>
        </w:rPr>
      </w:pPr>
      <w:r w:rsidRPr="008B5691">
        <w:rPr>
          <w:rFonts w:ascii="Bookman Old Style" w:hAnsi="Bookman Old Style"/>
          <w:sz w:val="24"/>
          <w:szCs w:val="24"/>
        </w:rPr>
        <w:t>(g)</w:t>
      </w:r>
      <w:r w:rsidRPr="008B5691">
        <w:rPr>
          <w:rFonts w:ascii="Bookman Old Style" w:hAnsi="Bookman Old Style"/>
          <w:sz w:val="24"/>
          <w:szCs w:val="24"/>
        </w:rPr>
        <w:tab/>
        <w:t>refusing to surrender a chattel as stated in § 237</w:t>
      </w:r>
      <w:r w:rsidRPr="008B5691">
        <w:rPr>
          <w:rFonts w:ascii="Bookman Old Style" w:hAnsi="Bookman Old Style"/>
          <w:sz w:val="24"/>
          <w:szCs w:val="24"/>
        </w:rPr>
        <w:noBreakHyphen/>
        <w:t>241 (See Instruction 21.07A).</w:t>
      </w:r>
    </w:p>
    <w:p w:rsidR="00A23B2C" w:rsidRPr="008B5691" w:rsidRDefault="00A23B2C">
      <w:pPr>
        <w:tabs>
          <w:tab w:val="left" w:pos="3000"/>
        </w:tabs>
        <w:rPr>
          <w:rFonts w:ascii="Bookman Old Style" w:hAnsi="Bookman Old Style"/>
          <w:sz w:val="24"/>
          <w:szCs w:val="24"/>
        </w:rPr>
      </w:pPr>
    </w:p>
    <w:p w:rsidR="00A23B2C" w:rsidRPr="008B5691" w:rsidRDefault="00A23B2C">
      <w:pPr>
        <w:jc w:val="both"/>
        <w:rPr>
          <w:rFonts w:ascii="Bookman Old Style" w:hAnsi="Bookman Old Style"/>
          <w:sz w:val="24"/>
          <w:szCs w:val="24"/>
        </w:rPr>
      </w:pPr>
      <w:r w:rsidRPr="008B5691">
        <w:rPr>
          <w:rFonts w:ascii="Bookman Old Style" w:hAnsi="Bookman Old Style"/>
          <w:sz w:val="24"/>
          <w:szCs w:val="24"/>
        </w:rPr>
        <w:t xml:space="preserve">The Restatement, </w:t>
      </w:r>
      <w:r w:rsidRPr="008B5691">
        <w:rPr>
          <w:rFonts w:ascii="Bookman Old Style" w:hAnsi="Bookman Old Style"/>
          <w:i/>
          <w:sz w:val="24"/>
          <w:szCs w:val="24"/>
        </w:rPr>
        <w:t>supra</w:t>
      </w:r>
      <w:r w:rsidRPr="008B5691">
        <w:rPr>
          <w:rFonts w:ascii="Bookman Old Style" w:hAnsi="Bookman Old Style"/>
          <w:sz w:val="24"/>
          <w:szCs w:val="24"/>
        </w:rPr>
        <w:t>, at § 217 lists the acts that can constitute a trespass to chattels:</w:t>
      </w:r>
    </w:p>
    <w:p w:rsidR="00A23B2C" w:rsidRPr="008B5691" w:rsidRDefault="00A23B2C">
      <w:pPr>
        <w:rPr>
          <w:rFonts w:ascii="Bookman Old Style" w:hAnsi="Bookman Old Style"/>
          <w:sz w:val="24"/>
          <w:szCs w:val="24"/>
        </w:rPr>
      </w:pPr>
    </w:p>
    <w:p w:rsidR="00A23B2C" w:rsidRPr="008B5691" w:rsidRDefault="00A23B2C">
      <w:pPr>
        <w:tabs>
          <w:tab w:val="left" w:pos="720"/>
          <w:tab w:val="left" w:pos="2955"/>
          <w:tab w:val="right" w:pos="10185"/>
        </w:tabs>
        <w:ind w:left="720" w:hanging="720"/>
        <w:jc w:val="both"/>
        <w:rPr>
          <w:rFonts w:ascii="Bookman Old Style" w:hAnsi="Bookman Old Style"/>
          <w:sz w:val="24"/>
          <w:szCs w:val="24"/>
        </w:rPr>
      </w:pPr>
      <w:r w:rsidRPr="008B5691">
        <w:rPr>
          <w:rFonts w:ascii="Bookman Old Style" w:hAnsi="Bookman Old Style"/>
          <w:sz w:val="24"/>
          <w:szCs w:val="24"/>
        </w:rPr>
        <w:t>(a)</w:t>
      </w:r>
      <w:r w:rsidRPr="008B5691">
        <w:rPr>
          <w:rFonts w:ascii="Bookman Old Style" w:hAnsi="Bookman Old Style"/>
          <w:sz w:val="24"/>
          <w:szCs w:val="24"/>
        </w:rPr>
        <w:tab/>
        <w:t>dispossessing another of the chattel, or</w:t>
      </w:r>
    </w:p>
    <w:p w:rsidR="00A23B2C" w:rsidRPr="008B5691" w:rsidRDefault="00A23B2C">
      <w:pPr>
        <w:tabs>
          <w:tab w:val="left" w:pos="720"/>
          <w:tab w:val="left" w:pos="2955"/>
          <w:tab w:val="right" w:pos="10185"/>
        </w:tabs>
        <w:ind w:left="720" w:hanging="720"/>
        <w:rPr>
          <w:rFonts w:ascii="Bookman Old Style" w:hAnsi="Bookman Old Style"/>
          <w:sz w:val="24"/>
          <w:szCs w:val="24"/>
        </w:rPr>
      </w:pPr>
    </w:p>
    <w:p w:rsidR="00A23B2C" w:rsidRPr="008B5691" w:rsidRDefault="00A23B2C">
      <w:pPr>
        <w:tabs>
          <w:tab w:val="left" w:pos="720"/>
          <w:tab w:val="left" w:pos="3000"/>
        </w:tabs>
        <w:ind w:left="720" w:hanging="720"/>
        <w:jc w:val="both"/>
        <w:rPr>
          <w:rFonts w:ascii="Bookman Old Style" w:hAnsi="Bookman Old Style"/>
          <w:sz w:val="24"/>
          <w:szCs w:val="24"/>
        </w:rPr>
      </w:pPr>
      <w:r w:rsidRPr="008B5691">
        <w:rPr>
          <w:rFonts w:ascii="Bookman Old Style" w:hAnsi="Bookman Old Style"/>
          <w:sz w:val="24"/>
          <w:szCs w:val="24"/>
        </w:rPr>
        <w:t>(b)</w:t>
      </w:r>
      <w:r w:rsidRPr="008B5691">
        <w:rPr>
          <w:rFonts w:ascii="Bookman Old Style" w:hAnsi="Bookman Old Style"/>
          <w:sz w:val="24"/>
          <w:szCs w:val="24"/>
        </w:rPr>
        <w:tab/>
        <w:t>using or intermeddling with a chattel in the possession of another.</w:t>
      </w:r>
    </w:p>
    <w:p w:rsidR="00A23B2C" w:rsidRPr="008B5691" w:rsidRDefault="00A23B2C">
      <w:pPr>
        <w:tabs>
          <w:tab w:val="left" w:pos="3000"/>
        </w:tabs>
        <w:rPr>
          <w:rFonts w:ascii="Bookman Old Style" w:hAnsi="Bookman Old Style"/>
          <w:sz w:val="24"/>
          <w:szCs w:val="24"/>
        </w:rPr>
      </w:pPr>
    </w:p>
    <w:p w:rsidR="00084EA2" w:rsidRPr="008B5691" w:rsidRDefault="00084EA2" w:rsidP="00084EA2">
      <w:pPr>
        <w:jc w:val="both"/>
        <w:rPr>
          <w:rFonts w:ascii="Bookman Old Style" w:hAnsi="Bookman Old Style"/>
          <w:sz w:val="24"/>
          <w:szCs w:val="24"/>
        </w:rPr>
      </w:pPr>
      <w:r w:rsidRPr="008B5691">
        <w:rPr>
          <w:rFonts w:ascii="Bookman Old Style" w:hAnsi="Bookman Old Style"/>
          <w:i/>
          <w:sz w:val="24"/>
          <w:szCs w:val="24"/>
        </w:rPr>
        <w:t>See</w:t>
      </w:r>
      <w:r w:rsidRPr="008B5691">
        <w:rPr>
          <w:i/>
          <w:sz w:val="24"/>
          <w:szCs w:val="24"/>
        </w:rPr>
        <w:t xml:space="preserve"> </w:t>
      </w:r>
      <w:r w:rsidRPr="008B5691">
        <w:rPr>
          <w:rFonts w:ascii="Bookman Old Style" w:hAnsi="Bookman Old Style"/>
          <w:i/>
          <w:sz w:val="24"/>
          <w:szCs w:val="24"/>
        </w:rPr>
        <w:t xml:space="preserve">Prentzel </w:t>
      </w:r>
      <w:r w:rsidR="00282341" w:rsidRPr="008B5691">
        <w:rPr>
          <w:rFonts w:ascii="Bookman Old Style" w:hAnsi="Bookman Old Style"/>
          <w:i/>
          <w:sz w:val="24"/>
          <w:szCs w:val="24"/>
        </w:rPr>
        <w:t>v. State</w:t>
      </w:r>
      <w:r w:rsidRPr="008B5691">
        <w:rPr>
          <w:rFonts w:ascii="Bookman Old Style" w:hAnsi="Bookman Old Style"/>
          <w:i/>
          <w:sz w:val="24"/>
          <w:szCs w:val="24"/>
        </w:rPr>
        <w:t xml:space="preserve">, </w:t>
      </w:r>
      <w:r w:rsidRPr="008B5691">
        <w:rPr>
          <w:rFonts w:ascii="Bookman Old Style" w:hAnsi="Bookman Old Style"/>
          <w:sz w:val="24"/>
          <w:szCs w:val="24"/>
        </w:rPr>
        <w:t>169 P.3d 573, 583 (Alaska 2007)(”Trespass to chattels is a</w:t>
      </w:r>
      <w:r w:rsidR="00282341" w:rsidRPr="008B5691">
        <w:rPr>
          <w:rFonts w:ascii="Bookman Old Style" w:hAnsi="Bookman Old Style"/>
          <w:sz w:val="24"/>
          <w:szCs w:val="24"/>
        </w:rPr>
        <w:t xml:space="preserve"> lesser form of conversion: it ‘</w:t>
      </w:r>
      <w:r w:rsidRPr="008B5691">
        <w:rPr>
          <w:rFonts w:ascii="Bookman Old Style" w:hAnsi="Bookman Old Style"/>
          <w:sz w:val="24"/>
          <w:szCs w:val="24"/>
        </w:rPr>
        <w:t>can be committed when a party intentionally dispossesses another of the chattel or intentionally uses or interferes with a chattel in another's possession.</w:t>
      </w:r>
      <w:r w:rsidR="00282341" w:rsidRPr="008B5691">
        <w:rPr>
          <w:rFonts w:ascii="Bookman Old Style" w:hAnsi="Bookman Old Style"/>
          <w:sz w:val="24"/>
          <w:szCs w:val="24"/>
        </w:rPr>
        <w:t>’</w:t>
      </w:r>
      <w:r w:rsidRPr="008B5691">
        <w:rPr>
          <w:rFonts w:ascii="Bookman Old Style" w:hAnsi="Bookman Old Style"/>
          <w:sz w:val="24"/>
          <w:szCs w:val="24"/>
        </w:rPr>
        <w:t xml:space="preserve">”) </w:t>
      </w:r>
    </w:p>
    <w:p w:rsidR="00084EA2" w:rsidRPr="008B5691" w:rsidRDefault="00084EA2" w:rsidP="00084EA2">
      <w:pPr>
        <w:jc w:val="both"/>
        <w:rPr>
          <w:rFonts w:ascii="Bookman Old Style" w:hAnsi="Bookman Old Style"/>
          <w:sz w:val="24"/>
          <w:szCs w:val="24"/>
        </w:rPr>
      </w:pPr>
    </w:p>
    <w:p w:rsidR="00A23B2C" w:rsidRPr="008B5691" w:rsidRDefault="00A23B2C">
      <w:pPr>
        <w:jc w:val="both"/>
        <w:rPr>
          <w:rFonts w:ascii="Bookman Old Style" w:hAnsi="Bookman Old Style"/>
          <w:sz w:val="24"/>
          <w:szCs w:val="24"/>
        </w:rPr>
      </w:pPr>
      <w:r w:rsidRPr="008B5691">
        <w:rPr>
          <w:rFonts w:ascii="Bookman Old Style" w:hAnsi="Bookman Old Style"/>
          <w:sz w:val="24"/>
          <w:szCs w:val="24"/>
        </w:rPr>
        <w:t>Care should be used in cases where the defendant's initial possession of the property is lawful, but the defendant refuses to return the property to the plaintiff on demand.  Most such situations will involve a bailment and the bailment instructions (Article 21) should be used.  However, in cases where the defendant merely obtains custody of the property rather than a bailment, such as where goods are entrusted by the master to a servant, a conversion may arise when the servant uses the goods for his own purposes.  In such cases, this instruction is appropriate.</w:t>
      </w:r>
    </w:p>
    <w:p w:rsidR="00A23B2C" w:rsidRPr="008B5691" w:rsidRDefault="00A23B2C">
      <w:pPr>
        <w:tabs>
          <w:tab w:val="left" w:pos="6975"/>
          <w:tab w:val="right" w:pos="10185"/>
        </w:tabs>
        <w:rPr>
          <w:rFonts w:ascii="Bookman Old Style" w:hAnsi="Bookman Old Style"/>
          <w:sz w:val="24"/>
          <w:szCs w:val="24"/>
        </w:rPr>
      </w:pPr>
    </w:p>
    <w:p w:rsidR="00A23B2C" w:rsidRPr="008B5691" w:rsidRDefault="00A23B2C" w:rsidP="00DD6F3E">
      <w:pPr>
        <w:jc w:val="both"/>
        <w:rPr>
          <w:rFonts w:ascii="Bookman Old Style" w:hAnsi="Bookman Old Style"/>
          <w:sz w:val="24"/>
          <w:szCs w:val="24"/>
        </w:rPr>
      </w:pPr>
      <w:r w:rsidRPr="008B5691">
        <w:rPr>
          <w:rFonts w:ascii="Bookman Old Style" w:hAnsi="Bookman Old Style"/>
          <w:sz w:val="24"/>
          <w:szCs w:val="24"/>
        </w:rPr>
        <w:t xml:space="preserve">The Alaska Supreme Court has recognized that money as well as personal property can be the subject of conversion.  </w:t>
      </w:r>
      <w:r w:rsidRPr="008B5691">
        <w:rPr>
          <w:rFonts w:ascii="Bookman Old Style" w:hAnsi="Bookman Old Style"/>
          <w:i/>
          <w:sz w:val="24"/>
          <w:szCs w:val="24"/>
        </w:rPr>
        <w:t>See Dressel v. Weeks,</w:t>
      </w:r>
      <w:r w:rsidRPr="008B5691">
        <w:rPr>
          <w:rFonts w:ascii="Bookman Old Style" w:hAnsi="Bookman Old Style"/>
          <w:sz w:val="24"/>
          <w:szCs w:val="24"/>
        </w:rPr>
        <w:t xml:space="preserve"> 779 P.2d at 327.  The use of estate funds by an administrator without permission of the court constitutes conversion.  </w:t>
      </w:r>
      <w:r w:rsidRPr="008B5691">
        <w:rPr>
          <w:rFonts w:ascii="Bookman Old Style" w:hAnsi="Bookman Old Style"/>
          <w:i/>
          <w:sz w:val="24"/>
          <w:szCs w:val="24"/>
        </w:rPr>
        <w:t>In re Estate of Gregory,</w:t>
      </w:r>
      <w:r w:rsidRPr="008B5691">
        <w:rPr>
          <w:rFonts w:ascii="Bookman Old Style" w:hAnsi="Bookman Old Style"/>
          <w:sz w:val="24"/>
          <w:szCs w:val="24"/>
        </w:rPr>
        <w:t xml:space="preserve"> 487 P.2d 59, 63 (Alaska 1971).  Diverting, to one's own use, money received in a fiduciary capacity can constitute conversion.  </w:t>
      </w:r>
      <w:r w:rsidRPr="008B5691">
        <w:rPr>
          <w:rFonts w:ascii="Bookman Old Style" w:hAnsi="Bookman Old Style"/>
          <w:i/>
          <w:sz w:val="24"/>
          <w:szCs w:val="24"/>
        </w:rPr>
        <w:t>In re Cornelius,</w:t>
      </w:r>
      <w:r w:rsidRPr="008B5691">
        <w:rPr>
          <w:rFonts w:ascii="Bookman Old Style" w:hAnsi="Bookman Old Style"/>
          <w:sz w:val="24"/>
          <w:szCs w:val="24"/>
        </w:rPr>
        <w:t xml:space="preserve"> 520 P.2d 76, 86 (Alaska 1974).  An attorney's acceptance of fees for services not performed may constitute conversion.  </w:t>
      </w:r>
      <w:r w:rsidRPr="008B5691">
        <w:rPr>
          <w:rFonts w:ascii="Bookman Old Style" w:hAnsi="Bookman Old Style"/>
          <w:i/>
          <w:sz w:val="24"/>
          <w:szCs w:val="24"/>
        </w:rPr>
        <w:t xml:space="preserve">See Alaska Bar Ass'n. v. Martin, </w:t>
      </w:r>
      <w:r w:rsidRPr="008B5691">
        <w:rPr>
          <w:rFonts w:ascii="Bookman Old Style" w:hAnsi="Bookman Old Style"/>
          <w:sz w:val="24"/>
          <w:szCs w:val="24"/>
        </w:rPr>
        <w:t xml:space="preserve">537 P.2d 516, 517 (Alaska 1975).  In </w:t>
      </w:r>
      <w:r w:rsidRPr="008B5691">
        <w:rPr>
          <w:rFonts w:ascii="Bookman Old Style" w:hAnsi="Bookman Old Style"/>
          <w:i/>
          <w:sz w:val="24"/>
          <w:szCs w:val="24"/>
        </w:rPr>
        <w:t>Knox v. Pickles</w:t>
      </w:r>
      <w:r w:rsidRPr="008B5691">
        <w:rPr>
          <w:rFonts w:ascii="Bookman Old Style" w:hAnsi="Bookman Old Style"/>
          <w:sz w:val="24"/>
          <w:szCs w:val="24"/>
        </w:rPr>
        <w:t xml:space="preserve">, 451 P.2d 347 (Alaska 1969), the court affirmed the award of damages against a bailee for converting stored goods by having a portion of them hauled to the dump.  The sale and transfer of another's property to a third person constitutes conversion.  </w:t>
      </w:r>
      <w:r w:rsidRPr="008B5691">
        <w:rPr>
          <w:rFonts w:ascii="Bookman Old Style" w:hAnsi="Bookman Old Style"/>
          <w:i/>
          <w:sz w:val="24"/>
          <w:szCs w:val="24"/>
        </w:rPr>
        <w:t>See Braund, Inc. v. White</w:t>
      </w:r>
      <w:r w:rsidRPr="008B5691">
        <w:rPr>
          <w:rFonts w:ascii="Bookman Old Style" w:hAnsi="Bookman Old Style"/>
          <w:sz w:val="24"/>
          <w:szCs w:val="24"/>
        </w:rPr>
        <w:t xml:space="preserve">, 486 P.2d 50 (Alaska 1971).  </w:t>
      </w:r>
    </w:p>
    <w:p w:rsidR="00A23B2C" w:rsidRPr="008B5691" w:rsidRDefault="00A23B2C">
      <w:pPr>
        <w:rPr>
          <w:rFonts w:ascii="Bookman Old Style" w:hAnsi="Bookman Old Style"/>
          <w:sz w:val="24"/>
          <w:szCs w:val="24"/>
        </w:rPr>
      </w:pPr>
    </w:p>
    <w:p w:rsidR="00A23B2C" w:rsidRPr="008B5691" w:rsidRDefault="00A23B2C">
      <w:pPr>
        <w:jc w:val="both"/>
        <w:rPr>
          <w:rFonts w:ascii="Bookman Old Style" w:hAnsi="Bookman Old Style"/>
          <w:sz w:val="24"/>
          <w:szCs w:val="24"/>
        </w:rPr>
      </w:pPr>
      <w:r w:rsidRPr="008B5691">
        <w:rPr>
          <w:rFonts w:ascii="Bookman Old Style" w:hAnsi="Bookman Old Style"/>
          <w:sz w:val="24"/>
          <w:szCs w:val="24"/>
        </w:rPr>
        <w:t xml:space="preserve">The third element of the plaintiff's case is intent.  In most cases this element will not be contested or particularly difficult. </w:t>
      </w:r>
      <w:r w:rsidR="00831FF9" w:rsidRPr="008B5691">
        <w:rPr>
          <w:rFonts w:ascii="Bookman Old Style" w:hAnsi="Bookman Old Style"/>
          <w:sz w:val="24"/>
          <w:szCs w:val="24"/>
        </w:rPr>
        <w:t xml:space="preserve">Instruction 18.03 </w:t>
      </w:r>
      <w:r w:rsidR="00DF5FB7" w:rsidRPr="008B5691">
        <w:rPr>
          <w:rFonts w:ascii="Bookman Old Style" w:hAnsi="Bookman Old Style"/>
          <w:sz w:val="24"/>
          <w:szCs w:val="24"/>
        </w:rPr>
        <w:t>defines</w:t>
      </w:r>
      <w:r w:rsidR="00831FF9" w:rsidRPr="008B5691">
        <w:rPr>
          <w:rFonts w:ascii="Bookman Old Style" w:hAnsi="Bookman Old Style"/>
          <w:sz w:val="24"/>
          <w:szCs w:val="24"/>
        </w:rPr>
        <w:t xml:space="preserve"> i</w:t>
      </w:r>
      <w:r w:rsidR="00DF5FB7" w:rsidRPr="008B5691">
        <w:rPr>
          <w:rFonts w:ascii="Bookman Old Style" w:hAnsi="Bookman Old Style"/>
          <w:sz w:val="24"/>
          <w:szCs w:val="24"/>
        </w:rPr>
        <w:t>n</w:t>
      </w:r>
      <w:r w:rsidR="00831FF9" w:rsidRPr="008B5691">
        <w:rPr>
          <w:rFonts w:ascii="Bookman Old Style" w:hAnsi="Bookman Old Style"/>
          <w:sz w:val="24"/>
          <w:szCs w:val="24"/>
        </w:rPr>
        <w:t>tent.</w:t>
      </w:r>
      <w:r w:rsidRPr="008B5691">
        <w:rPr>
          <w:rFonts w:ascii="Bookman Old Style" w:hAnsi="Bookman Old Style"/>
          <w:sz w:val="24"/>
          <w:szCs w:val="24"/>
        </w:rPr>
        <w:t xml:space="preserve"> </w:t>
      </w:r>
    </w:p>
    <w:p w:rsidR="00A23B2C" w:rsidRPr="008B5691" w:rsidRDefault="00A23B2C">
      <w:pPr>
        <w:rPr>
          <w:rFonts w:ascii="Bookman Old Style" w:hAnsi="Bookman Old Style"/>
          <w:sz w:val="24"/>
          <w:szCs w:val="24"/>
        </w:rPr>
      </w:pPr>
    </w:p>
    <w:p w:rsidR="00A23B2C" w:rsidRPr="008B5691" w:rsidRDefault="00A23B2C">
      <w:pPr>
        <w:jc w:val="both"/>
        <w:rPr>
          <w:rFonts w:ascii="Bookman Old Style" w:hAnsi="Bookman Old Style"/>
          <w:sz w:val="24"/>
          <w:szCs w:val="24"/>
        </w:rPr>
      </w:pPr>
      <w:r w:rsidRPr="008B5691">
        <w:rPr>
          <w:rFonts w:ascii="Bookman Old Style" w:hAnsi="Bookman Old Style"/>
          <w:sz w:val="24"/>
          <w:szCs w:val="24"/>
        </w:rPr>
        <w:t xml:space="preserve">The final element is causation.  Restatement, </w:t>
      </w:r>
      <w:r w:rsidRPr="008B5691">
        <w:rPr>
          <w:rFonts w:ascii="Bookman Old Style" w:hAnsi="Bookman Old Style"/>
          <w:i/>
          <w:sz w:val="24"/>
          <w:szCs w:val="24"/>
        </w:rPr>
        <w:t>supra</w:t>
      </w:r>
      <w:r w:rsidRPr="008B5691">
        <w:rPr>
          <w:rFonts w:ascii="Bookman Old Style" w:hAnsi="Bookman Old Style"/>
          <w:sz w:val="24"/>
          <w:szCs w:val="24"/>
        </w:rPr>
        <w:t>, at § 217 Comment d, 435A, 435B.  The general rule is that a plaintiff must have suffered some harm to maintain an action for trespass.  Harper &amp; James</w:t>
      </w:r>
      <w:r w:rsidRPr="008B5691">
        <w:rPr>
          <w:rFonts w:ascii="Bookman Old Style" w:hAnsi="Bookman Old Style"/>
          <w:i/>
          <w:sz w:val="24"/>
          <w:szCs w:val="24"/>
        </w:rPr>
        <w:t>, supra</w:t>
      </w:r>
      <w:r w:rsidRPr="008B5691">
        <w:rPr>
          <w:rFonts w:ascii="Bookman Old Style" w:hAnsi="Bookman Old Style"/>
          <w:sz w:val="24"/>
          <w:szCs w:val="24"/>
        </w:rPr>
        <w:t xml:space="preserve">, at § 2.3; </w:t>
      </w:r>
      <w:r w:rsidRPr="008B5691">
        <w:rPr>
          <w:rFonts w:ascii="Bookman Old Style" w:hAnsi="Bookman Old Style"/>
          <w:i/>
          <w:sz w:val="24"/>
          <w:szCs w:val="24"/>
        </w:rPr>
        <w:t>see</w:t>
      </w:r>
      <w:r w:rsidRPr="008B5691">
        <w:rPr>
          <w:rFonts w:ascii="Bookman Old Style" w:hAnsi="Bookman Old Style"/>
          <w:sz w:val="24"/>
          <w:szCs w:val="24"/>
        </w:rPr>
        <w:t xml:space="preserve"> Restatement, </w:t>
      </w:r>
      <w:r w:rsidRPr="008B5691">
        <w:rPr>
          <w:rFonts w:ascii="Bookman Old Style" w:hAnsi="Bookman Old Style"/>
          <w:i/>
          <w:sz w:val="24"/>
          <w:szCs w:val="24"/>
        </w:rPr>
        <w:t>supra</w:t>
      </w:r>
      <w:r w:rsidRPr="008B5691">
        <w:rPr>
          <w:rFonts w:ascii="Bookman Old Style" w:hAnsi="Bookman Old Style"/>
          <w:sz w:val="24"/>
          <w:szCs w:val="24"/>
        </w:rPr>
        <w:t>, at § 218 comment e.  This instruction does not include an explicit requirement that the jury find that the plaintiff suffered harm, but</w:t>
      </w:r>
      <w:r w:rsidR="00084EA2" w:rsidRPr="008B5691">
        <w:rPr>
          <w:rFonts w:ascii="Bookman Old Style" w:hAnsi="Bookman Old Style"/>
          <w:sz w:val="24"/>
          <w:szCs w:val="24"/>
        </w:rPr>
        <w:t xml:space="preserve"> </w:t>
      </w:r>
      <w:r w:rsidR="00A55D1E" w:rsidRPr="008B5691">
        <w:rPr>
          <w:rFonts w:ascii="Bookman Old Style" w:hAnsi="Bookman Old Style"/>
          <w:sz w:val="24"/>
          <w:szCs w:val="24"/>
        </w:rPr>
        <w:t>element four</w:t>
      </w:r>
      <w:r w:rsidR="00F9118D" w:rsidRPr="008B5691">
        <w:rPr>
          <w:rFonts w:ascii="Bookman Old Style" w:hAnsi="Bookman Old Style"/>
          <w:sz w:val="24"/>
          <w:szCs w:val="24"/>
        </w:rPr>
        <w:t xml:space="preserve"> does require the </w:t>
      </w:r>
      <w:r w:rsidR="00A55D1E" w:rsidRPr="008B5691">
        <w:rPr>
          <w:rFonts w:ascii="Bookman Old Style" w:hAnsi="Bookman Old Style"/>
          <w:sz w:val="24"/>
          <w:szCs w:val="24"/>
        </w:rPr>
        <w:t xml:space="preserve">jury to find </w:t>
      </w:r>
      <w:r w:rsidR="00084EA2" w:rsidRPr="008B5691">
        <w:rPr>
          <w:rFonts w:ascii="Bookman Old Style" w:hAnsi="Bookman Old Style"/>
          <w:sz w:val="24"/>
          <w:szCs w:val="24"/>
        </w:rPr>
        <w:t>the defendant’s act or omission was a substantial factor in causing the loss</w:t>
      </w:r>
      <w:r w:rsidRPr="008B5691">
        <w:rPr>
          <w:rFonts w:ascii="Bookman Old Style" w:hAnsi="Bookman Old Style"/>
          <w:sz w:val="24"/>
          <w:szCs w:val="24"/>
        </w:rPr>
        <w:t>.  "</w:t>
      </w:r>
      <w:r w:rsidR="00084EA2" w:rsidRPr="008B5691">
        <w:rPr>
          <w:rFonts w:ascii="Bookman Old Style" w:hAnsi="Bookman Old Style"/>
          <w:sz w:val="24"/>
          <w:szCs w:val="24"/>
        </w:rPr>
        <w:t>Substantial factor</w:t>
      </w:r>
      <w:r w:rsidRPr="008B5691">
        <w:rPr>
          <w:rFonts w:ascii="Bookman Old Style" w:hAnsi="Bookman Old Style"/>
          <w:sz w:val="24"/>
          <w:szCs w:val="24"/>
        </w:rPr>
        <w:t xml:space="preserve">" is defined in Instruction 03.06.  The element of actual harm is included in the damage instructions.  </w:t>
      </w:r>
    </w:p>
    <w:p w:rsidR="00A23B2C" w:rsidRPr="008B5691" w:rsidRDefault="00A23B2C">
      <w:pPr>
        <w:rPr>
          <w:rFonts w:ascii="Bookman Old Style" w:hAnsi="Bookman Old Style"/>
          <w:sz w:val="24"/>
          <w:szCs w:val="24"/>
        </w:rPr>
      </w:pPr>
    </w:p>
    <w:p w:rsidR="00A23B2C" w:rsidRPr="008B5691" w:rsidRDefault="00A23B2C">
      <w:pPr>
        <w:jc w:val="both"/>
        <w:rPr>
          <w:rFonts w:ascii="Bookman Old Style" w:hAnsi="Bookman Old Style"/>
          <w:sz w:val="24"/>
          <w:szCs w:val="24"/>
        </w:rPr>
      </w:pPr>
      <w:r w:rsidRPr="008B5691">
        <w:rPr>
          <w:rFonts w:ascii="Bookman Old Style" w:hAnsi="Bookman Old Style"/>
          <w:sz w:val="24"/>
          <w:szCs w:val="24"/>
        </w:rPr>
        <w:t>The instruction can be modified for use in most replevin (claim and delivery) actions.  The elements in such an action are:</w:t>
      </w:r>
    </w:p>
    <w:p w:rsidR="00A23B2C" w:rsidRPr="008B5691" w:rsidRDefault="00A23B2C">
      <w:pPr>
        <w:rPr>
          <w:rFonts w:ascii="Bookman Old Style" w:hAnsi="Bookman Old Style"/>
          <w:sz w:val="24"/>
          <w:szCs w:val="24"/>
        </w:rPr>
      </w:pPr>
    </w:p>
    <w:p w:rsidR="00A23B2C" w:rsidRPr="008B5691" w:rsidRDefault="00A23B2C">
      <w:pPr>
        <w:tabs>
          <w:tab w:val="left" w:pos="720"/>
        </w:tabs>
        <w:ind w:left="720" w:hanging="720"/>
        <w:jc w:val="both"/>
        <w:rPr>
          <w:rFonts w:ascii="Bookman Old Style" w:hAnsi="Bookman Old Style"/>
          <w:sz w:val="24"/>
          <w:szCs w:val="24"/>
        </w:rPr>
      </w:pPr>
      <w:r w:rsidRPr="008B5691">
        <w:rPr>
          <w:rFonts w:ascii="Bookman Old Style" w:hAnsi="Bookman Old Style"/>
          <w:sz w:val="24"/>
          <w:szCs w:val="24"/>
        </w:rPr>
        <w:t xml:space="preserve">(1) </w:t>
      </w:r>
      <w:r w:rsidRPr="008B5691">
        <w:rPr>
          <w:rFonts w:ascii="Bookman Old Style" w:hAnsi="Bookman Old Style"/>
          <w:sz w:val="24"/>
          <w:szCs w:val="24"/>
        </w:rPr>
        <w:tab/>
        <w:t>The plaintiff must be the owner of the property claimed or be lawfully entitled to its possession; and</w:t>
      </w:r>
    </w:p>
    <w:p w:rsidR="00A23B2C" w:rsidRDefault="00A23B2C">
      <w:pPr>
        <w:ind w:left="720" w:hanging="720"/>
        <w:rPr>
          <w:rFonts w:ascii="Bookman Old Style" w:hAnsi="Bookman Old Style"/>
          <w:sz w:val="24"/>
          <w:szCs w:val="24"/>
        </w:rPr>
      </w:pPr>
    </w:p>
    <w:p w:rsidR="008B5691" w:rsidRPr="008B5691" w:rsidRDefault="008B5691">
      <w:pPr>
        <w:ind w:left="720" w:hanging="720"/>
        <w:rPr>
          <w:rFonts w:ascii="Bookman Old Style" w:hAnsi="Bookman Old Style"/>
          <w:sz w:val="24"/>
          <w:szCs w:val="24"/>
        </w:rPr>
      </w:pPr>
    </w:p>
    <w:p w:rsidR="00A23B2C" w:rsidRPr="008B5691" w:rsidRDefault="00A23B2C">
      <w:pPr>
        <w:pStyle w:val="BodyText"/>
        <w:widowControl/>
        <w:tabs>
          <w:tab w:val="left" w:pos="720"/>
          <w:tab w:val="left" w:pos="3240"/>
        </w:tabs>
        <w:spacing w:line="240" w:lineRule="auto"/>
        <w:ind w:left="720" w:hanging="720"/>
        <w:rPr>
          <w:sz w:val="24"/>
          <w:szCs w:val="24"/>
        </w:rPr>
      </w:pPr>
      <w:r w:rsidRPr="008B5691">
        <w:rPr>
          <w:sz w:val="24"/>
          <w:szCs w:val="24"/>
        </w:rPr>
        <w:t>(2)</w:t>
      </w:r>
      <w:r w:rsidRPr="008B5691">
        <w:rPr>
          <w:sz w:val="24"/>
          <w:szCs w:val="24"/>
        </w:rPr>
        <w:tab/>
        <w:t>The property must have been wrongfully detained by the defendant.</w:t>
      </w:r>
    </w:p>
    <w:p w:rsidR="00A23B2C" w:rsidRPr="008B5691" w:rsidRDefault="00A23B2C">
      <w:pPr>
        <w:tabs>
          <w:tab w:val="left" w:pos="3240"/>
        </w:tabs>
        <w:rPr>
          <w:rFonts w:ascii="Bookman Old Style" w:hAnsi="Bookman Old Style"/>
          <w:sz w:val="24"/>
          <w:szCs w:val="24"/>
        </w:rPr>
      </w:pPr>
    </w:p>
    <w:p w:rsidR="00A23B2C" w:rsidRPr="008B5691" w:rsidRDefault="00A23B2C">
      <w:pPr>
        <w:jc w:val="both"/>
        <w:rPr>
          <w:rFonts w:ascii="Bookman Old Style" w:hAnsi="Bookman Old Style"/>
          <w:sz w:val="24"/>
          <w:szCs w:val="24"/>
        </w:rPr>
      </w:pPr>
      <w:r w:rsidRPr="008B5691">
        <w:rPr>
          <w:rFonts w:ascii="Bookman Old Style" w:hAnsi="Bookman Old Style"/>
          <w:i/>
          <w:sz w:val="24"/>
          <w:szCs w:val="24"/>
        </w:rPr>
        <w:t>See Kelly v. Miller</w:t>
      </w:r>
      <w:r w:rsidRPr="008B5691">
        <w:rPr>
          <w:rFonts w:ascii="Bookman Old Style" w:hAnsi="Bookman Old Style"/>
          <w:sz w:val="24"/>
          <w:szCs w:val="24"/>
        </w:rPr>
        <w:t xml:space="preserve">, 575 P.2d 1221, 1224 (Alaska 1978).  </w:t>
      </w:r>
    </w:p>
    <w:p w:rsidR="008B5691" w:rsidRDefault="008B5691">
      <w:pPr>
        <w:jc w:val="both"/>
        <w:rPr>
          <w:rFonts w:ascii="Bookman Old Style" w:hAnsi="Bookman Old Style"/>
          <w:sz w:val="24"/>
          <w:szCs w:val="24"/>
        </w:rPr>
      </w:pPr>
    </w:p>
    <w:p w:rsidR="008B5691" w:rsidRPr="008B5691" w:rsidRDefault="008B5691" w:rsidP="008B5691">
      <w:pPr>
        <w:rPr>
          <w:rFonts w:ascii="Bookman Old Style" w:hAnsi="Bookman Old Style"/>
          <w:sz w:val="24"/>
          <w:szCs w:val="24"/>
        </w:rPr>
      </w:pPr>
    </w:p>
    <w:p w:rsidR="008B5691" w:rsidRPr="008B5691" w:rsidRDefault="008B5691" w:rsidP="008B5691">
      <w:pPr>
        <w:rPr>
          <w:rFonts w:ascii="Bookman Old Style" w:hAnsi="Bookman Old Style"/>
          <w:sz w:val="24"/>
          <w:szCs w:val="24"/>
        </w:rPr>
      </w:pPr>
    </w:p>
    <w:p w:rsidR="008B5691" w:rsidRDefault="008B5691" w:rsidP="008B5691">
      <w:pPr>
        <w:rPr>
          <w:rFonts w:ascii="Bookman Old Style" w:hAnsi="Bookman Old Style"/>
          <w:sz w:val="24"/>
          <w:szCs w:val="24"/>
        </w:rPr>
      </w:pPr>
    </w:p>
    <w:p w:rsidR="00A23B2C" w:rsidRPr="008B5691" w:rsidRDefault="008B5691" w:rsidP="008B5691">
      <w:pPr>
        <w:tabs>
          <w:tab w:val="left" w:pos="5835"/>
        </w:tabs>
        <w:rPr>
          <w:rFonts w:ascii="Bookman Old Style" w:hAnsi="Bookman Old Style"/>
          <w:sz w:val="24"/>
          <w:szCs w:val="24"/>
        </w:rPr>
      </w:pPr>
      <w:r>
        <w:rPr>
          <w:rFonts w:ascii="Bookman Old Style" w:hAnsi="Bookman Old Style"/>
          <w:sz w:val="24"/>
          <w:szCs w:val="24"/>
        </w:rPr>
        <w:tab/>
      </w:r>
    </w:p>
    <w:sectPr w:rsidR="00A23B2C" w:rsidRPr="008B5691">
      <w:headerReference w:type="default" r:id="rId7"/>
      <w:footerReference w:type="default" r:id="rId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98C" w:rsidRDefault="00A1298C">
      <w:r>
        <w:separator/>
      </w:r>
    </w:p>
  </w:endnote>
  <w:endnote w:type="continuationSeparator" w:id="0">
    <w:p w:rsidR="00A1298C" w:rsidRDefault="00A1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B2C" w:rsidRPr="008B5691" w:rsidRDefault="00E224DC">
    <w:pPr>
      <w:pStyle w:val="Footer"/>
      <w:tabs>
        <w:tab w:val="clear" w:pos="8640"/>
        <w:tab w:val="right" w:pos="9360"/>
      </w:tabs>
      <w:rPr>
        <w:rFonts w:ascii="Bookman Old Style" w:hAnsi="Bookman Old Style"/>
        <w:sz w:val="22"/>
        <w:szCs w:val="22"/>
      </w:rPr>
    </w:pPr>
    <w:r w:rsidRPr="008B5691">
      <w:rPr>
        <w:rFonts w:ascii="Bookman Old Style" w:hAnsi="Bookman Old Style"/>
        <w:sz w:val="22"/>
        <w:szCs w:val="22"/>
      </w:rPr>
      <w:t>2015</w:t>
    </w:r>
    <w:r w:rsidR="00A23B2C" w:rsidRPr="008B5691">
      <w:rPr>
        <w:rFonts w:ascii="Bookman Old Style" w:hAnsi="Bookman Old Style"/>
        <w:sz w:val="22"/>
        <w:szCs w:val="22"/>
      </w:rPr>
      <w:tab/>
    </w:r>
    <w:r w:rsidR="00A23B2C" w:rsidRPr="008B5691">
      <w:rPr>
        <w:rFonts w:ascii="Bookman Old Style" w:hAnsi="Bookman Old Style"/>
        <w:sz w:val="22"/>
        <w:szCs w:val="22"/>
      </w:rPr>
      <w:tab/>
      <w:t>18.02 -</w:t>
    </w:r>
    <w:r w:rsidR="008B5691">
      <w:rPr>
        <w:rFonts w:ascii="Bookman Old Style" w:hAnsi="Bookman Old Style"/>
        <w:sz w:val="22"/>
        <w:szCs w:val="22"/>
      </w:rPr>
      <w:t xml:space="preserve"> </w:t>
    </w:r>
    <w:r w:rsidR="008B5691" w:rsidRPr="008B5691">
      <w:rPr>
        <w:rFonts w:ascii="Bookman Old Style" w:hAnsi="Bookman Old Style"/>
        <w:sz w:val="22"/>
        <w:szCs w:val="22"/>
      </w:rPr>
      <w:t xml:space="preserve">Page </w:t>
    </w:r>
    <w:r w:rsidR="008B5691" w:rsidRPr="008B5691">
      <w:rPr>
        <w:rFonts w:ascii="Bookman Old Style" w:hAnsi="Bookman Old Style"/>
        <w:sz w:val="22"/>
        <w:szCs w:val="22"/>
      </w:rPr>
      <w:fldChar w:fldCharType="begin"/>
    </w:r>
    <w:r w:rsidR="008B5691" w:rsidRPr="008B5691">
      <w:rPr>
        <w:rFonts w:ascii="Bookman Old Style" w:hAnsi="Bookman Old Style"/>
        <w:sz w:val="22"/>
        <w:szCs w:val="22"/>
      </w:rPr>
      <w:instrText xml:space="preserve"> PAGE  \* Arabic  \* MERGEFORMAT </w:instrText>
    </w:r>
    <w:r w:rsidR="008B5691" w:rsidRPr="008B5691">
      <w:rPr>
        <w:rFonts w:ascii="Bookman Old Style" w:hAnsi="Bookman Old Style"/>
        <w:sz w:val="22"/>
        <w:szCs w:val="22"/>
      </w:rPr>
      <w:fldChar w:fldCharType="separate"/>
    </w:r>
    <w:r w:rsidR="00CD09C8">
      <w:rPr>
        <w:rFonts w:ascii="Bookman Old Style" w:hAnsi="Bookman Old Style"/>
        <w:noProof/>
        <w:sz w:val="22"/>
        <w:szCs w:val="22"/>
      </w:rPr>
      <w:t>1</w:t>
    </w:r>
    <w:r w:rsidR="008B5691" w:rsidRPr="008B5691">
      <w:rPr>
        <w:rFonts w:ascii="Bookman Old Style" w:hAnsi="Bookman Old Style"/>
        <w:sz w:val="22"/>
        <w:szCs w:val="22"/>
      </w:rPr>
      <w:fldChar w:fldCharType="end"/>
    </w:r>
    <w:r w:rsidR="008B5691" w:rsidRPr="008B5691">
      <w:rPr>
        <w:rFonts w:ascii="Bookman Old Style" w:hAnsi="Bookman Old Style"/>
        <w:sz w:val="22"/>
        <w:szCs w:val="22"/>
      </w:rPr>
      <w:t xml:space="preserve"> of </w:t>
    </w:r>
    <w:r w:rsidR="008B5691" w:rsidRPr="008B5691">
      <w:rPr>
        <w:rFonts w:ascii="Bookman Old Style" w:hAnsi="Bookman Old Style"/>
        <w:sz w:val="22"/>
        <w:szCs w:val="22"/>
      </w:rPr>
      <w:fldChar w:fldCharType="begin"/>
    </w:r>
    <w:r w:rsidR="008B5691" w:rsidRPr="008B5691">
      <w:rPr>
        <w:rFonts w:ascii="Bookman Old Style" w:hAnsi="Bookman Old Style"/>
        <w:sz w:val="22"/>
        <w:szCs w:val="22"/>
      </w:rPr>
      <w:instrText xml:space="preserve"> NUMPAGES  \* Arabic  \* MERGEFORMAT </w:instrText>
    </w:r>
    <w:r w:rsidR="008B5691" w:rsidRPr="008B5691">
      <w:rPr>
        <w:rFonts w:ascii="Bookman Old Style" w:hAnsi="Bookman Old Style"/>
        <w:sz w:val="22"/>
        <w:szCs w:val="22"/>
      </w:rPr>
      <w:fldChar w:fldCharType="separate"/>
    </w:r>
    <w:r w:rsidR="00CD09C8">
      <w:rPr>
        <w:rFonts w:ascii="Bookman Old Style" w:hAnsi="Bookman Old Style"/>
        <w:noProof/>
        <w:sz w:val="22"/>
        <w:szCs w:val="22"/>
      </w:rPr>
      <w:t>3</w:t>
    </w:r>
    <w:r w:rsidR="008B5691" w:rsidRPr="008B5691">
      <w:rPr>
        <w:rFonts w:ascii="Bookman Old Style" w:hAnsi="Bookman Old Style"/>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98C" w:rsidRDefault="00A1298C">
      <w:r>
        <w:separator/>
      </w:r>
    </w:p>
  </w:footnote>
  <w:footnote w:type="continuationSeparator" w:id="0">
    <w:p w:rsidR="00A1298C" w:rsidRDefault="00A12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B2C" w:rsidRDefault="00A23B2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Bookman Old Style" w:hAnsi="Bookman Old Style"/>
        <w:caps/>
        <w:sz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5D6"/>
    <w:rsid w:val="00084EA2"/>
    <w:rsid w:val="001318A4"/>
    <w:rsid w:val="001D5494"/>
    <w:rsid w:val="00282341"/>
    <w:rsid w:val="002E14BD"/>
    <w:rsid w:val="00337A72"/>
    <w:rsid w:val="003766DB"/>
    <w:rsid w:val="003C75D6"/>
    <w:rsid w:val="004639A5"/>
    <w:rsid w:val="00494EE8"/>
    <w:rsid w:val="004B3758"/>
    <w:rsid w:val="004B585D"/>
    <w:rsid w:val="005252B9"/>
    <w:rsid w:val="00585EC4"/>
    <w:rsid w:val="005A3A80"/>
    <w:rsid w:val="005F7162"/>
    <w:rsid w:val="006147A1"/>
    <w:rsid w:val="00642D62"/>
    <w:rsid w:val="006E36C0"/>
    <w:rsid w:val="007521BF"/>
    <w:rsid w:val="00831FF9"/>
    <w:rsid w:val="008A0B8F"/>
    <w:rsid w:val="008A57E9"/>
    <w:rsid w:val="008B3943"/>
    <w:rsid w:val="008B5691"/>
    <w:rsid w:val="008B7164"/>
    <w:rsid w:val="00A1298C"/>
    <w:rsid w:val="00A23B2C"/>
    <w:rsid w:val="00A55D1E"/>
    <w:rsid w:val="00A71111"/>
    <w:rsid w:val="00BD0041"/>
    <w:rsid w:val="00C025E4"/>
    <w:rsid w:val="00CD09C8"/>
    <w:rsid w:val="00D65F1F"/>
    <w:rsid w:val="00D81BB0"/>
    <w:rsid w:val="00DC5C2D"/>
    <w:rsid w:val="00DD6F3E"/>
    <w:rsid w:val="00DF5FB7"/>
    <w:rsid w:val="00E0418D"/>
    <w:rsid w:val="00E224DC"/>
    <w:rsid w:val="00E23D8C"/>
    <w:rsid w:val="00E67744"/>
    <w:rsid w:val="00EB2E24"/>
    <w:rsid w:val="00F71749"/>
    <w:rsid w:val="00F9118D"/>
    <w:rsid w:val="00FB3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right" w:pos="9622"/>
      </w:tabs>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widowControl w:val="0"/>
      <w:spacing w:line="360" w:lineRule="auto"/>
      <w:ind w:left="1440" w:hanging="1440"/>
      <w:jc w:val="both"/>
    </w:pPr>
    <w:rPr>
      <w:rFonts w:ascii="Bookman Old Style" w:hAnsi="Bookman Old Style"/>
      <w:b/>
      <w:caps/>
      <w:sz w:val="26"/>
    </w:rPr>
  </w:style>
  <w:style w:type="paragraph" w:styleId="BodyText">
    <w:name w:val="Body Text"/>
    <w:basedOn w:val="Normal"/>
    <w:pPr>
      <w:widowControl w:val="0"/>
      <w:spacing w:line="360" w:lineRule="auto"/>
      <w:jc w:val="both"/>
    </w:pPr>
    <w:rPr>
      <w:rFonts w:ascii="Bookman Old Style" w:hAnsi="Bookman Old Style"/>
      <w:sz w:val="26"/>
    </w:rPr>
  </w:style>
  <w:style w:type="paragraph" w:styleId="BalloonText">
    <w:name w:val="Balloon Text"/>
    <w:basedOn w:val="Normal"/>
    <w:link w:val="BalloonTextChar"/>
    <w:rsid w:val="00BD0041"/>
    <w:rPr>
      <w:rFonts w:ascii="Tahoma" w:hAnsi="Tahoma" w:cs="Tahoma"/>
      <w:sz w:val="16"/>
      <w:szCs w:val="16"/>
    </w:rPr>
  </w:style>
  <w:style w:type="character" w:customStyle="1" w:styleId="BalloonTextChar">
    <w:name w:val="Balloon Text Char"/>
    <w:link w:val="BalloonText"/>
    <w:rsid w:val="00BD00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right" w:pos="9622"/>
      </w:tabs>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widowControl w:val="0"/>
      <w:spacing w:line="360" w:lineRule="auto"/>
      <w:ind w:left="1440" w:hanging="1440"/>
      <w:jc w:val="both"/>
    </w:pPr>
    <w:rPr>
      <w:rFonts w:ascii="Bookman Old Style" w:hAnsi="Bookman Old Style"/>
      <w:b/>
      <w:caps/>
      <w:sz w:val="26"/>
    </w:rPr>
  </w:style>
  <w:style w:type="paragraph" w:styleId="BodyText">
    <w:name w:val="Body Text"/>
    <w:basedOn w:val="Normal"/>
    <w:pPr>
      <w:widowControl w:val="0"/>
      <w:spacing w:line="360" w:lineRule="auto"/>
      <w:jc w:val="both"/>
    </w:pPr>
    <w:rPr>
      <w:rFonts w:ascii="Bookman Old Style" w:hAnsi="Bookman Old Style"/>
      <w:sz w:val="26"/>
    </w:rPr>
  </w:style>
  <w:style w:type="paragraph" w:styleId="BalloonText">
    <w:name w:val="Balloon Text"/>
    <w:basedOn w:val="Normal"/>
    <w:link w:val="BalloonTextChar"/>
    <w:rsid w:val="00BD0041"/>
    <w:rPr>
      <w:rFonts w:ascii="Tahoma" w:hAnsi="Tahoma" w:cs="Tahoma"/>
      <w:sz w:val="16"/>
      <w:szCs w:val="16"/>
    </w:rPr>
  </w:style>
  <w:style w:type="character" w:customStyle="1" w:styleId="BalloonTextChar">
    <w:name w:val="Balloon Text Char"/>
    <w:link w:val="BalloonText"/>
    <w:rsid w:val="00BD00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18</vt:lpstr>
    </vt:vector>
  </TitlesOfParts>
  <Company>Alaska Court System</Company>
  <LinksUpToDate>false</LinksUpToDate>
  <CharactersWithSpaces>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subject/>
  <dc:creator>korzechowski</dc:creator>
  <cp:keywords/>
  <cp:lastModifiedBy>Michael Merrington</cp:lastModifiedBy>
  <cp:revision>3</cp:revision>
  <cp:lastPrinted>2015-10-07T01:57:00Z</cp:lastPrinted>
  <dcterms:created xsi:type="dcterms:W3CDTF">2017-04-04T18:50:00Z</dcterms:created>
  <dcterms:modified xsi:type="dcterms:W3CDTF">2017-04-04T18:50:00Z</dcterms:modified>
</cp:coreProperties>
</file>