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1AD" w:rsidRDefault="00DD0F73" w:rsidP="00DD0F73">
      <w:pPr>
        <w:widowControl w:val="0"/>
        <w:ind w:left="1440" w:hanging="1440"/>
        <w:rPr>
          <w:rFonts w:ascii="Bookman Old Style" w:hAnsi="Bookman Old Style"/>
          <w:b/>
          <w:caps/>
          <w:sz w:val="26"/>
        </w:rPr>
      </w:pPr>
      <w:bookmarkStart w:id="0" w:name="_GoBack"/>
      <w:bookmarkEnd w:id="0"/>
      <w:r>
        <w:rPr>
          <w:rFonts w:ascii="Bookman Old Style" w:hAnsi="Bookman Old Style"/>
          <w:b/>
          <w:caps/>
          <w:sz w:val="26"/>
        </w:rPr>
        <w:t>18.03</w:t>
      </w:r>
      <w:r>
        <w:rPr>
          <w:rFonts w:ascii="Bookman Old Style" w:hAnsi="Bookman Old Style"/>
          <w:b/>
          <w:caps/>
          <w:sz w:val="26"/>
        </w:rPr>
        <w:tab/>
        <w:t xml:space="preserve">conversion/intentional interference with chattels – </w:t>
      </w:r>
      <w:r w:rsidR="004441AD">
        <w:rPr>
          <w:rFonts w:ascii="Bookman Old Style" w:hAnsi="Bookman Old Style"/>
          <w:b/>
          <w:caps/>
          <w:sz w:val="26"/>
        </w:rPr>
        <w:t>Intent Defined</w:t>
      </w:r>
    </w:p>
    <w:p w:rsidR="004441AD" w:rsidRDefault="004441AD">
      <w:pPr>
        <w:widowControl w:val="0"/>
        <w:spacing w:line="360" w:lineRule="auto"/>
        <w:jc w:val="both"/>
        <w:rPr>
          <w:rFonts w:ascii="Bookman Old Style" w:hAnsi="Bookman Old Style"/>
          <w:sz w:val="26"/>
        </w:rPr>
      </w:pPr>
    </w:p>
    <w:p w:rsidR="004441AD" w:rsidRDefault="004441AD">
      <w:pPr>
        <w:pStyle w:val="BodyText"/>
      </w:pPr>
      <w:r>
        <w:t>The defendant's act or omission was intentional if the defendant intended to interfere with the property or was substantially certain that the act or omission would result in such interference.  The defendant's act or omission may be intentional even if the def</w:t>
      </w:r>
      <w:r w:rsidR="003750EE">
        <w:t>endant mistakenly believed (he)(she)</w:t>
      </w:r>
      <w:r>
        <w:t>(it) had a right to interfere with the property, or was unaware of the rights of the plaintiff in the property.</w:t>
      </w:r>
    </w:p>
    <w:p w:rsidR="004441AD" w:rsidRDefault="004441AD">
      <w:pPr>
        <w:pStyle w:val="BodyText"/>
      </w:pPr>
    </w:p>
    <w:p w:rsidR="004441AD" w:rsidRPr="006A52E3" w:rsidRDefault="004441AD">
      <w:pPr>
        <w:tabs>
          <w:tab w:val="right" w:pos="9620"/>
        </w:tabs>
        <w:jc w:val="center"/>
        <w:rPr>
          <w:rFonts w:ascii="Bookman Old Style" w:hAnsi="Bookman Old Style"/>
          <w:b/>
          <w:sz w:val="24"/>
          <w:szCs w:val="24"/>
        </w:rPr>
      </w:pPr>
      <w:r w:rsidRPr="006A52E3">
        <w:rPr>
          <w:rFonts w:ascii="Bookman Old Style" w:hAnsi="Bookman Old Style"/>
          <w:b/>
          <w:sz w:val="24"/>
          <w:szCs w:val="24"/>
        </w:rPr>
        <w:t>Use Note</w:t>
      </w:r>
    </w:p>
    <w:p w:rsidR="004441AD" w:rsidRPr="006A52E3" w:rsidRDefault="004441AD">
      <w:pPr>
        <w:tabs>
          <w:tab w:val="right" w:pos="9620"/>
        </w:tabs>
        <w:rPr>
          <w:rFonts w:ascii="Bookman Old Style" w:hAnsi="Bookman Old Style"/>
          <w:b/>
          <w:sz w:val="24"/>
          <w:szCs w:val="24"/>
        </w:rPr>
      </w:pPr>
    </w:p>
    <w:p w:rsidR="004441AD" w:rsidRPr="006A52E3" w:rsidRDefault="004441AD">
      <w:pPr>
        <w:jc w:val="both"/>
        <w:rPr>
          <w:rFonts w:ascii="Bookman Old Style" w:hAnsi="Bookman Old Style"/>
          <w:sz w:val="24"/>
          <w:szCs w:val="24"/>
        </w:rPr>
      </w:pPr>
      <w:r w:rsidRPr="006A52E3">
        <w:rPr>
          <w:rFonts w:ascii="Bookman Old Style" w:hAnsi="Bookman Old Style"/>
          <w:sz w:val="24"/>
          <w:szCs w:val="24"/>
        </w:rPr>
        <w:t xml:space="preserve">This instruction should be </w:t>
      </w:r>
      <w:r w:rsidR="00430277" w:rsidRPr="006A52E3">
        <w:rPr>
          <w:rFonts w:ascii="Bookman Old Style" w:hAnsi="Bookman Old Style"/>
          <w:sz w:val="24"/>
          <w:szCs w:val="24"/>
        </w:rPr>
        <w:t xml:space="preserve">given with </w:t>
      </w:r>
      <w:r w:rsidRPr="006A52E3">
        <w:rPr>
          <w:rFonts w:ascii="Bookman Old Style" w:hAnsi="Bookman Old Style"/>
          <w:sz w:val="24"/>
          <w:szCs w:val="24"/>
        </w:rPr>
        <w:t>Instruction 18.02 (Intentional Interference with Chattels).</w:t>
      </w:r>
    </w:p>
    <w:p w:rsidR="004441AD" w:rsidRDefault="004441AD">
      <w:pPr>
        <w:tabs>
          <w:tab w:val="right" w:pos="9620"/>
        </w:tabs>
        <w:jc w:val="center"/>
        <w:rPr>
          <w:rFonts w:ascii="Bookman Old Style" w:hAnsi="Bookman Old Style"/>
          <w:sz w:val="26"/>
          <w:u w:val="single"/>
        </w:rPr>
      </w:pPr>
    </w:p>
    <w:p w:rsidR="004441AD" w:rsidRPr="006A52E3" w:rsidRDefault="004441AD">
      <w:pPr>
        <w:pStyle w:val="Heading1"/>
        <w:rPr>
          <w:b/>
          <w:sz w:val="24"/>
          <w:szCs w:val="24"/>
          <w:u w:val="none"/>
        </w:rPr>
      </w:pPr>
      <w:r w:rsidRPr="006A52E3">
        <w:rPr>
          <w:b/>
          <w:sz w:val="24"/>
          <w:szCs w:val="24"/>
          <w:u w:val="none"/>
        </w:rPr>
        <w:t>Comment</w:t>
      </w:r>
    </w:p>
    <w:p w:rsidR="00A3049C" w:rsidRPr="006A52E3" w:rsidRDefault="00A3049C" w:rsidP="00A3049C">
      <w:pPr>
        <w:widowControl w:val="0"/>
        <w:overflowPunct/>
        <w:spacing w:line="288" w:lineRule="auto"/>
        <w:jc w:val="both"/>
        <w:textAlignment w:val="auto"/>
        <w:rPr>
          <w:b/>
          <w:color w:val="000000"/>
          <w:sz w:val="24"/>
          <w:szCs w:val="24"/>
        </w:rPr>
      </w:pPr>
    </w:p>
    <w:p w:rsidR="004441AD" w:rsidRPr="006A52E3" w:rsidRDefault="00F7500F" w:rsidP="00247640">
      <w:pPr>
        <w:tabs>
          <w:tab w:val="right" w:pos="9620"/>
        </w:tabs>
        <w:jc w:val="both"/>
        <w:rPr>
          <w:rFonts w:ascii="Bookman Old Style" w:hAnsi="Bookman Old Style"/>
          <w:sz w:val="24"/>
          <w:szCs w:val="24"/>
        </w:rPr>
      </w:pPr>
      <w:r w:rsidRPr="006A52E3">
        <w:rPr>
          <w:rFonts w:ascii="Bookman Old Style" w:hAnsi="Bookman Old Style"/>
          <w:sz w:val="24"/>
          <w:szCs w:val="24"/>
        </w:rPr>
        <w:t>Instruction 18.03</w:t>
      </w:r>
      <w:r w:rsidR="00A3049C" w:rsidRPr="006A52E3">
        <w:rPr>
          <w:rFonts w:ascii="Bookman Old Style" w:hAnsi="Bookman Old Style"/>
          <w:sz w:val="24"/>
          <w:szCs w:val="24"/>
        </w:rPr>
        <w:t xml:space="preserve"> was quoted in </w:t>
      </w:r>
      <w:r w:rsidR="00A3049C" w:rsidRPr="006A52E3">
        <w:rPr>
          <w:rFonts w:ascii="Bookman Old Style" w:hAnsi="Bookman Old Style"/>
          <w:i/>
          <w:color w:val="000000"/>
          <w:sz w:val="24"/>
          <w:szCs w:val="24"/>
        </w:rPr>
        <w:t>Shields v. Cape Fox Corp.</w:t>
      </w:r>
      <w:r w:rsidR="00A3049C" w:rsidRPr="006A52E3">
        <w:rPr>
          <w:rFonts w:ascii="Bookman Old Style" w:hAnsi="Bookman Old Style"/>
          <w:b/>
          <w:color w:val="000000"/>
          <w:sz w:val="24"/>
          <w:szCs w:val="24"/>
        </w:rPr>
        <w:t xml:space="preserve"> </w:t>
      </w:r>
      <w:r w:rsidR="00A3049C" w:rsidRPr="006A52E3">
        <w:rPr>
          <w:rFonts w:ascii="Bookman Old Style" w:hAnsi="Bookman Old Style"/>
          <w:color w:val="000000"/>
          <w:sz w:val="24"/>
          <w:szCs w:val="24"/>
        </w:rPr>
        <w:t>42 P.3d 1083, 1089 n.12</w:t>
      </w:r>
      <w:r w:rsidR="00A3049C" w:rsidRPr="006A52E3">
        <w:rPr>
          <w:rFonts w:ascii="Bookman Old Style" w:hAnsi="Bookman Old Style"/>
          <w:b/>
          <w:color w:val="000000"/>
          <w:sz w:val="24"/>
          <w:szCs w:val="24"/>
        </w:rPr>
        <w:t xml:space="preserve"> </w:t>
      </w:r>
      <w:r w:rsidR="006D36EF" w:rsidRPr="006A52E3">
        <w:rPr>
          <w:rFonts w:ascii="Bookman Old Style" w:hAnsi="Bookman Old Style"/>
          <w:color w:val="000000"/>
          <w:sz w:val="24"/>
          <w:szCs w:val="24"/>
        </w:rPr>
        <w:t xml:space="preserve">(Alaska </w:t>
      </w:r>
      <w:r w:rsidR="00A3049C" w:rsidRPr="006A52E3">
        <w:rPr>
          <w:rFonts w:ascii="Bookman Old Style" w:hAnsi="Bookman Old Style"/>
          <w:color w:val="000000"/>
          <w:sz w:val="24"/>
          <w:szCs w:val="24"/>
        </w:rPr>
        <w:t>2002).</w:t>
      </w:r>
      <w:r w:rsidR="00A3049C" w:rsidRPr="006A52E3">
        <w:rPr>
          <w:rFonts w:ascii="Bookman Old Style" w:hAnsi="Bookman Old Style"/>
          <w:sz w:val="24"/>
          <w:szCs w:val="24"/>
        </w:rPr>
        <w:t xml:space="preserve"> </w:t>
      </w:r>
      <w:r w:rsidR="004441AD" w:rsidRPr="006A52E3">
        <w:rPr>
          <w:rFonts w:ascii="Bookman Old Style" w:hAnsi="Bookman Old Style"/>
          <w:sz w:val="24"/>
          <w:szCs w:val="24"/>
        </w:rPr>
        <w:t xml:space="preserve">In </w:t>
      </w:r>
      <w:r w:rsidR="004441AD" w:rsidRPr="006A52E3">
        <w:rPr>
          <w:rFonts w:ascii="Bookman Old Style" w:hAnsi="Bookman Old Style"/>
          <w:i/>
          <w:sz w:val="24"/>
          <w:szCs w:val="24"/>
        </w:rPr>
        <w:t>Rollins v. Leibold</w:t>
      </w:r>
      <w:r w:rsidR="004441AD" w:rsidRPr="006A52E3">
        <w:rPr>
          <w:rFonts w:ascii="Bookman Old Style" w:hAnsi="Bookman Old Style"/>
          <w:sz w:val="24"/>
          <w:szCs w:val="24"/>
        </w:rPr>
        <w:t>, 512 P.2d 937, 945</w:t>
      </w:r>
      <w:r w:rsidR="004441AD" w:rsidRPr="006A52E3">
        <w:rPr>
          <w:rFonts w:ascii="Bookman Old Style" w:hAnsi="Bookman Old Style"/>
          <w:sz w:val="24"/>
          <w:szCs w:val="24"/>
        </w:rPr>
        <w:noBreakHyphen/>
        <w:t>46 (Alaska 1973), the Alaska Supreme Court recognized that even a bona fide purchaser can be liable for conversion. The court indicated that the good faith of the converter may, in some cases, affect the appropriate measure of damages.</w:t>
      </w:r>
      <w:r w:rsidR="00DB358E" w:rsidRPr="006A52E3">
        <w:rPr>
          <w:rFonts w:ascii="Bookman Old Style" w:hAnsi="Bookman Old Style"/>
          <w:sz w:val="24"/>
          <w:szCs w:val="24"/>
        </w:rPr>
        <w:t xml:space="preserve"> </w:t>
      </w:r>
      <w:r w:rsidR="00DB358E" w:rsidRPr="006A52E3">
        <w:rPr>
          <w:rFonts w:ascii="Bookman Old Style" w:hAnsi="Bookman Old Style"/>
          <w:i/>
          <w:sz w:val="24"/>
          <w:szCs w:val="24"/>
        </w:rPr>
        <w:t>Id.</w:t>
      </w:r>
      <w:r w:rsidR="00DB358E" w:rsidRPr="006A52E3">
        <w:rPr>
          <w:rFonts w:ascii="Bookman Old Style" w:hAnsi="Bookman Old Style"/>
          <w:sz w:val="24"/>
          <w:szCs w:val="24"/>
        </w:rPr>
        <w:t xml:space="preserve"> at 945-46</w:t>
      </w:r>
      <w:r w:rsidR="006D36EF" w:rsidRPr="006A52E3">
        <w:rPr>
          <w:rFonts w:ascii="Bookman Old Style" w:hAnsi="Bookman Old Style"/>
          <w:sz w:val="24"/>
          <w:szCs w:val="24"/>
        </w:rPr>
        <w:t>.</w:t>
      </w:r>
      <w:r w:rsidR="00DB358E" w:rsidRPr="006A52E3">
        <w:rPr>
          <w:rFonts w:ascii="Bookman Old Style" w:hAnsi="Bookman Old Style"/>
          <w:sz w:val="24"/>
          <w:szCs w:val="24"/>
        </w:rPr>
        <w:t xml:space="preserve"> </w:t>
      </w:r>
      <w:r w:rsidR="004441AD" w:rsidRPr="006A52E3">
        <w:rPr>
          <w:rFonts w:ascii="Bookman Old Style" w:hAnsi="Bookman Old Style"/>
          <w:i/>
          <w:sz w:val="24"/>
          <w:szCs w:val="24"/>
        </w:rPr>
        <w:t>See Alaska Placer Co. v. Lee</w:t>
      </w:r>
      <w:r w:rsidR="004441AD" w:rsidRPr="006A52E3">
        <w:rPr>
          <w:rFonts w:ascii="Bookman Old Style" w:hAnsi="Bookman Old Style"/>
          <w:sz w:val="24"/>
          <w:szCs w:val="24"/>
        </w:rPr>
        <w:t>, 553 P.2d 54</w:t>
      </w:r>
      <w:r w:rsidR="00DA098D" w:rsidRPr="006A52E3">
        <w:rPr>
          <w:rFonts w:ascii="Bookman Old Style" w:hAnsi="Bookman Old Style"/>
          <w:sz w:val="24"/>
          <w:szCs w:val="24"/>
        </w:rPr>
        <w:t>, 57</w:t>
      </w:r>
      <w:r w:rsidR="004441AD" w:rsidRPr="006A52E3">
        <w:rPr>
          <w:rFonts w:ascii="Bookman Old Style" w:hAnsi="Bookman Old Style"/>
          <w:sz w:val="24"/>
          <w:szCs w:val="24"/>
        </w:rPr>
        <w:t xml:space="preserve"> (Alaska 1976)</w:t>
      </w:r>
      <w:r w:rsidR="00DA098D" w:rsidRPr="006A52E3">
        <w:rPr>
          <w:rFonts w:ascii="Bookman Old Style" w:hAnsi="Bookman Old Style"/>
          <w:sz w:val="24"/>
          <w:szCs w:val="24"/>
        </w:rPr>
        <w:t>(discussing mild damage rule for good</w:t>
      </w:r>
      <w:r w:rsidR="00032C52" w:rsidRPr="006A52E3">
        <w:rPr>
          <w:rFonts w:ascii="Bookman Old Style" w:hAnsi="Bookman Old Style"/>
          <w:sz w:val="24"/>
          <w:szCs w:val="24"/>
        </w:rPr>
        <w:t xml:space="preserve"> </w:t>
      </w:r>
      <w:r w:rsidR="00DA098D" w:rsidRPr="006A52E3">
        <w:rPr>
          <w:rFonts w:ascii="Bookman Old Style" w:hAnsi="Bookman Old Style"/>
          <w:sz w:val="24"/>
          <w:szCs w:val="24"/>
        </w:rPr>
        <w:t>faith trespass and harsh damage rule for wil</w:t>
      </w:r>
      <w:r w:rsidR="006D36EF" w:rsidRPr="006A52E3">
        <w:rPr>
          <w:rFonts w:ascii="Bookman Old Style" w:hAnsi="Bookman Old Style"/>
          <w:sz w:val="24"/>
          <w:szCs w:val="24"/>
        </w:rPr>
        <w:t>l</w:t>
      </w:r>
      <w:r w:rsidR="00DA098D" w:rsidRPr="006A52E3">
        <w:rPr>
          <w:rFonts w:ascii="Bookman Old Style" w:hAnsi="Bookman Old Style"/>
          <w:sz w:val="24"/>
          <w:szCs w:val="24"/>
        </w:rPr>
        <w:t>ful tres</w:t>
      </w:r>
      <w:r w:rsidR="000214B5" w:rsidRPr="006A52E3">
        <w:rPr>
          <w:rFonts w:ascii="Bookman Old Style" w:hAnsi="Bookman Old Style"/>
          <w:sz w:val="24"/>
          <w:szCs w:val="24"/>
        </w:rPr>
        <w:t>p</w:t>
      </w:r>
      <w:r w:rsidR="00DA098D" w:rsidRPr="006A52E3">
        <w:rPr>
          <w:rFonts w:ascii="Bookman Old Style" w:hAnsi="Bookman Old Style"/>
          <w:sz w:val="24"/>
          <w:szCs w:val="24"/>
        </w:rPr>
        <w:t>ass).</w:t>
      </w:r>
    </w:p>
    <w:p w:rsidR="004441AD" w:rsidRPr="006A52E3" w:rsidRDefault="004441AD">
      <w:pPr>
        <w:tabs>
          <w:tab w:val="left" w:pos="1515"/>
          <w:tab w:val="right" w:pos="9620"/>
        </w:tabs>
        <w:rPr>
          <w:rFonts w:ascii="Bookman Old Style" w:hAnsi="Bookman Old Style"/>
          <w:sz w:val="24"/>
          <w:szCs w:val="24"/>
        </w:rPr>
      </w:pPr>
    </w:p>
    <w:p w:rsidR="004441AD" w:rsidRPr="006A52E3" w:rsidRDefault="004441AD" w:rsidP="00247640">
      <w:pPr>
        <w:tabs>
          <w:tab w:val="left" w:pos="1515"/>
          <w:tab w:val="right" w:pos="9620"/>
        </w:tabs>
        <w:jc w:val="both"/>
        <w:rPr>
          <w:rFonts w:ascii="Bookman Old Style" w:hAnsi="Bookman Old Style"/>
          <w:sz w:val="24"/>
          <w:szCs w:val="24"/>
        </w:rPr>
      </w:pPr>
      <w:r w:rsidRPr="006A52E3">
        <w:rPr>
          <w:rFonts w:ascii="Bookman Old Style" w:hAnsi="Bookman Old Style"/>
          <w:i/>
          <w:sz w:val="24"/>
          <w:szCs w:val="24"/>
        </w:rPr>
        <w:t>See generally</w:t>
      </w:r>
      <w:r w:rsidRPr="006A52E3">
        <w:rPr>
          <w:rFonts w:ascii="Bookman Old Style" w:hAnsi="Bookman Old Style"/>
          <w:sz w:val="24"/>
          <w:szCs w:val="24"/>
        </w:rPr>
        <w:t xml:space="preserve"> Restatement (</w:t>
      </w:r>
      <w:r w:rsidR="006D36EF" w:rsidRPr="006A52E3">
        <w:rPr>
          <w:rFonts w:ascii="Bookman Old Style" w:hAnsi="Bookman Old Style"/>
          <w:sz w:val="24"/>
          <w:szCs w:val="24"/>
        </w:rPr>
        <w:t>Second) of Torts § 217 &amp; cmt.</w:t>
      </w:r>
      <w:r w:rsidRPr="006A52E3">
        <w:rPr>
          <w:rFonts w:ascii="Bookman Old Style" w:hAnsi="Bookman Old Style"/>
          <w:sz w:val="24"/>
          <w:szCs w:val="24"/>
        </w:rPr>
        <w:t xml:space="preserve"> b, c; §</w:t>
      </w:r>
      <w:r w:rsidRPr="006A52E3">
        <w:rPr>
          <w:rFonts w:ascii="Bookman Old Style" w:hAnsi="Bookman Old Style"/>
          <w:b/>
          <w:sz w:val="24"/>
          <w:szCs w:val="24"/>
        </w:rPr>
        <w:t xml:space="preserve"> </w:t>
      </w:r>
      <w:r w:rsidR="00602A72" w:rsidRPr="006A52E3">
        <w:rPr>
          <w:rFonts w:ascii="Bookman Old Style" w:hAnsi="Bookman Old Style"/>
          <w:sz w:val="24"/>
          <w:szCs w:val="24"/>
        </w:rPr>
        <w:t>222 &amp; cmt.</w:t>
      </w:r>
      <w:r w:rsidRPr="006A52E3">
        <w:rPr>
          <w:rFonts w:ascii="Bookman Old Style" w:hAnsi="Bookman Old Style"/>
          <w:sz w:val="24"/>
          <w:szCs w:val="24"/>
        </w:rPr>
        <w:t xml:space="preserve"> b, c; § </w:t>
      </w:r>
      <w:r w:rsidR="00602A72" w:rsidRPr="006A52E3">
        <w:rPr>
          <w:rFonts w:ascii="Bookman Old Style" w:hAnsi="Bookman Old Style"/>
          <w:sz w:val="24"/>
          <w:szCs w:val="24"/>
        </w:rPr>
        <w:t>223 &amp; cmt. b; § 224 &amp; cmt.</w:t>
      </w:r>
      <w:r w:rsidRPr="006A52E3">
        <w:rPr>
          <w:rFonts w:ascii="Bookman Old Style" w:hAnsi="Bookman Old Style"/>
          <w:sz w:val="24"/>
          <w:szCs w:val="24"/>
        </w:rPr>
        <w:t xml:space="preserve"> a</w:t>
      </w:r>
      <w:r w:rsidRPr="006A52E3">
        <w:rPr>
          <w:rFonts w:ascii="Bookman Old Style" w:hAnsi="Bookman Old Style"/>
          <w:sz w:val="24"/>
          <w:szCs w:val="24"/>
        </w:rPr>
        <w:noBreakHyphen/>
        <w:t>c, § 8A (1965).</w:t>
      </w:r>
    </w:p>
    <w:p w:rsidR="004441AD" w:rsidRPr="006A52E3" w:rsidRDefault="004441AD">
      <w:pPr>
        <w:tabs>
          <w:tab w:val="right" w:pos="9620"/>
        </w:tabs>
        <w:rPr>
          <w:rFonts w:ascii="Bookman Old Style" w:hAnsi="Bookman Old Style"/>
          <w:sz w:val="24"/>
          <w:szCs w:val="24"/>
        </w:rPr>
      </w:pPr>
    </w:p>
    <w:p w:rsidR="004441AD" w:rsidRDefault="004441AD">
      <w:pPr>
        <w:pStyle w:val="BodyText"/>
      </w:pPr>
    </w:p>
    <w:sectPr w:rsidR="004441AD">
      <w:headerReference w:type="default" r:id="rId7"/>
      <w:footerReference w:type="default" r:id="rId8"/>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924" w:rsidRDefault="00137924">
      <w:r>
        <w:separator/>
      </w:r>
    </w:p>
  </w:endnote>
  <w:endnote w:type="continuationSeparator" w:id="0">
    <w:p w:rsidR="00137924" w:rsidRDefault="00137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1AD" w:rsidRPr="006A52E3" w:rsidRDefault="003750EE">
    <w:pPr>
      <w:pStyle w:val="Footer"/>
      <w:tabs>
        <w:tab w:val="clear" w:pos="8640"/>
        <w:tab w:val="right" w:pos="9360"/>
      </w:tabs>
      <w:rPr>
        <w:rFonts w:ascii="Bookman Old Style" w:hAnsi="Bookman Old Style"/>
        <w:sz w:val="22"/>
        <w:szCs w:val="22"/>
      </w:rPr>
    </w:pPr>
    <w:r w:rsidRPr="006A52E3">
      <w:rPr>
        <w:rFonts w:ascii="Bookman Old Style" w:hAnsi="Bookman Old Style"/>
        <w:sz w:val="22"/>
        <w:szCs w:val="22"/>
      </w:rPr>
      <w:t>2015</w:t>
    </w:r>
    <w:r w:rsidR="004441AD" w:rsidRPr="006A52E3">
      <w:rPr>
        <w:rFonts w:ascii="Bookman Old Style" w:hAnsi="Bookman Old Style"/>
        <w:sz w:val="22"/>
        <w:szCs w:val="22"/>
      </w:rPr>
      <w:tab/>
    </w:r>
    <w:r w:rsidR="004441AD" w:rsidRPr="006A52E3">
      <w:rPr>
        <w:rFonts w:ascii="Bookman Old Style" w:hAnsi="Bookman Old Style"/>
        <w:sz w:val="22"/>
        <w:szCs w:val="22"/>
      </w:rPr>
      <w:tab/>
      <w:t>18.03</w:t>
    </w:r>
    <w:r w:rsidR="006A52E3">
      <w:rPr>
        <w:rFonts w:ascii="Bookman Old Style" w:hAnsi="Bookman Old Style"/>
        <w:sz w:val="22"/>
        <w:szCs w:val="22"/>
      </w:rPr>
      <w:t xml:space="preserve"> - </w:t>
    </w:r>
    <w:r w:rsidR="006A52E3" w:rsidRPr="006A52E3">
      <w:rPr>
        <w:rFonts w:ascii="Bookman Old Style" w:hAnsi="Bookman Old Style"/>
        <w:sz w:val="22"/>
        <w:szCs w:val="22"/>
      </w:rPr>
      <w:t xml:space="preserve">Page </w:t>
    </w:r>
    <w:r w:rsidR="006A52E3" w:rsidRPr="006A52E3">
      <w:rPr>
        <w:rFonts w:ascii="Bookman Old Style" w:hAnsi="Bookman Old Style"/>
        <w:sz w:val="22"/>
        <w:szCs w:val="22"/>
      </w:rPr>
      <w:fldChar w:fldCharType="begin"/>
    </w:r>
    <w:r w:rsidR="006A52E3" w:rsidRPr="006A52E3">
      <w:rPr>
        <w:rFonts w:ascii="Bookman Old Style" w:hAnsi="Bookman Old Style"/>
        <w:sz w:val="22"/>
        <w:szCs w:val="22"/>
      </w:rPr>
      <w:instrText xml:space="preserve"> PAGE  \* Arabic  \* MERGEFORMAT </w:instrText>
    </w:r>
    <w:r w:rsidR="006A52E3" w:rsidRPr="006A52E3">
      <w:rPr>
        <w:rFonts w:ascii="Bookman Old Style" w:hAnsi="Bookman Old Style"/>
        <w:sz w:val="22"/>
        <w:szCs w:val="22"/>
      </w:rPr>
      <w:fldChar w:fldCharType="separate"/>
    </w:r>
    <w:r w:rsidR="00737E44">
      <w:rPr>
        <w:rFonts w:ascii="Bookman Old Style" w:hAnsi="Bookman Old Style"/>
        <w:noProof/>
        <w:sz w:val="22"/>
        <w:szCs w:val="22"/>
      </w:rPr>
      <w:t>1</w:t>
    </w:r>
    <w:r w:rsidR="006A52E3" w:rsidRPr="006A52E3">
      <w:rPr>
        <w:rFonts w:ascii="Bookman Old Style" w:hAnsi="Bookman Old Style"/>
        <w:sz w:val="22"/>
        <w:szCs w:val="22"/>
      </w:rPr>
      <w:fldChar w:fldCharType="end"/>
    </w:r>
    <w:r w:rsidR="006A52E3" w:rsidRPr="006A52E3">
      <w:rPr>
        <w:rFonts w:ascii="Bookman Old Style" w:hAnsi="Bookman Old Style"/>
        <w:sz w:val="22"/>
        <w:szCs w:val="22"/>
      </w:rPr>
      <w:t xml:space="preserve"> of </w:t>
    </w:r>
    <w:r w:rsidR="006A52E3" w:rsidRPr="006A52E3">
      <w:rPr>
        <w:rFonts w:ascii="Bookman Old Style" w:hAnsi="Bookman Old Style"/>
        <w:sz w:val="22"/>
        <w:szCs w:val="22"/>
      </w:rPr>
      <w:fldChar w:fldCharType="begin"/>
    </w:r>
    <w:r w:rsidR="006A52E3" w:rsidRPr="006A52E3">
      <w:rPr>
        <w:rFonts w:ascii="Bookman Old Style" w:hAnsi="Bookman Old Style"/>
        <w:sz w:val="22"/>
        <w:szCs w:val="22"/>
      </w:rPr>
      <w:instrText xml:space="preserve"> NUMPAGES  \* Arabic  \* MERGEFORMAT </w:instrText>
    </w:r>
    <w:r w:rsidR="006A52E3" w:rsidRPr="006A52E3">
      <w:rPr>
        <w:rFonts w:ascii="Bookman Old Style" w:hAnsi="Bookman Old Style"/>
        <w:sz w:val="22"/>
        <w:szCs w:val="22"/>
      </w:rPr>
      <w:fldChar w:fldCharType="separate"/>
    </w:r>
    <w:r w:rsidR="00737E44">
      <w:rPr>
        <w:rFonts w:ascii="Bookman Old Style" w:hAnsi="Bookman Old Style"/>
        <w:noProof/>
        <w:sz w:val="22"/>
        <w:szCs w:val="22"/>
      </w:rPr>
      <w:t>1</w:t>
    </w:r>
    <w:r w:rsidR="006A52E3" w:rsidRPr="006A52E3">
      <w:rPr>
        <w:rFonts w:ascii="Bookman Old Style" w:hAnsi="Bookman Old Style"/>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924" w:rsidRDefault="00137924">
      <w:r>
        <w:separator/>
      </w:r>
    </w:p>
  </w:footnote>
  <w:footnote w:type="continuationSeparator" w:id="0">
    <w:p w:rsidR="00137924" w:rsidRDefault="00137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1AD" w:rsidRDefault="004441A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Bookman Old Style" w:hAnsi="Bookman Old Style"/>
        <w:vanish/>
        <w:sz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DD6"/>
    <w:rsid w:val="000214B5"/>
    <w:rsid w:val="00025352"/>
    <w:rsid w:val="00032C52"/>
    <w:rsid w:val="000C5214"/>
    <w:rsid w:val="00137924"/>
    <w:rsid w:val="00247640"/>
    <w:rsid w:val="0025328D"/>
    <w:rsid w:val="002A7FBB"/>
    <w:rsid w:val="002F7DD6"/>
    <w:rsid w:val="003750EE"/>
    <w:rsid w:val="0042620C"/>
    <w:rsid w:val="00430277"/>
    <w:rsid w:val="004441AD"/>
    <w:rsid w:val="00602A72"/>
    <w:rsid w:val="006A52E3"/>
    <w:rsid w:val="006D36EF"/>
    <w:rsid w:val="00721E11"/>
    <w:rsid w:val="00737E44"/>
    <w:rsid w:val="0082410B"/>
    <w:rsid w:val="00A3049C"/>
    <w:rsid w:val="00B50E6E"/>
    <w:rsid w:val="00BA0601"/>
    <w:rsid w:val="00BA7B12"/>
    <w:rsid w:val="00C87DFB"/>
    <w:rsid w:val="00D44370"/>
    <w:rsid w:val="00DA098D"/>
    <w:rsid w:val="00DB334B"/>
    <w:rsid w:val="00DB358E"/>
    <w:rsid w:val="00DD0F73"/>
    <w:rsid w:val="00EC0305"/>
    <w:rsid w:val="00F75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right" w:pos="9620"/>
      </w:tabs>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widowControl w:val="0"/>
      <w:spacing w:line="360" w:lineRule="auto"/>
      <w:jc w:val="center"/>
    </w:pPr>
    <w:rPr>
      <w:rFonts w:ascii="Bookman Old Style" w:hAnsi="Bookman Old Style"/>
      <w:sz w:val="26"/>
    </w:rPr>
  </w:style>
  <w:style w:type="paragraph" w:styleId="BodyText">
    <w:name w:val="Body Text"/>
    <w:basedOn w:val="Normal"/>
    <w:pPr>
      <w:widowControl w:val="0"/>
      <w:spacing w:line="360" w:lineRule="auto"/>
      <w:jc w:val="both"/>
    </w:pPr>
    <w:rPr>
      <w:rFonts w:ascii="Bookman Old Style" w:hAnsi="Bookman Old Style"/>
      <w:sz w:val="26"/>
    </w:rPr>
  </w:style>
  <w:style w:type="paragraph" w:styleId="BalloonText">
    <w:name w:val="Balloon Text"/>
    <w:basedOn w:val="Normal"/>
    <w:link w:val="BalloonTextChar"/>
    <w:rsid w:val="00A3049C"/>
    <w:rPr>
      <w:rFonts w:ascii="Tahoma" w:hAnsi="Tahoma" w:cs="Tahoma"/>
      <w:sz w:val="16"/>
      <w:szCs w:val="16"/>
    </w:rPr>
  </w:style>
  <w:style w:type="character" w:customStyle="1" w:styleId="BalloonTextChar">
    <w:name w:val="Balloon Text Char"/>
    <w:link w:val="BalloonText"/>
    <w:rsid w:val="00A3049C"/>
    <w:rPr>
      <w:rFonts w:ascii="Tahoma" w:hAnsi="Tahoma" w:cs="Tahoma"/>
      <w:sz w:val="16"/>
      <w:szCs w:val="16"/>
    </w:rPr>
  </w:style>
  <w:style w:type="paragraph" w:styleId="Revision">
    <w:name w:val="Revision"/>
    <w:hidden/>
    <w:uiPriority w:val="99"/>
    <w:semiHidden/>
    <w:rsid w:val="003750EE"/>
  </w:style>
  <w:style w:type="character" w:styleId="CommentReference">
    <w:name w:val="annotation reference"/>
    <w:rsid w:val="003750EE"/>
    <w:rPr>
      <w:sz w:val="16"/>
      <w:szCs w:val="16"/>
    </w:rPr>
  </w:style>
  <w:style w:type="paragraph" w:styleId="CommentText">
    <w:name w:val="annotation text"/>
    <w:basedOn w:val="Normal"/>
    <w:link w:val="CommentTextChar"/>
    <w:rsid w:val="003750EE"/>
  </w:style>
  <w:style w:type="character" w:customStyle="1" w:styleId="CommentTextChar">
    <w:name w:val="Comment Text Char"/>
    <w:basedOn w:val="DefaultParagraphFont"/>
    <w:link w:val="CommentText"/>
    <w:rsid w:val="003750EE"/>
  </w:style>
  <w:style w:type="paragraph" w:styleId="CommentSubject">
    <w:name w:val="annotation subject"/>
    <w:basedOn w:val="CommentText"/>
    <w:next w:val="CommentText"/>
    <w:link w:val="CommentSubjectChar"/>
    <w:rsid w:val="003750EE"/>
    <w:rPr>
      <w:b/>
      <w:bCs/>
    </w:rPr>
  </w:style>
  <w:style w:type="character" w:customStyle="1" w:styleId="CommentSubjectChar">
    <w:name w:val="Comment Subject Char"/>
    <w:link w:val="CommentSubject"/>
    <w:rsid w:val="003750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right" w:pos="9620"/>
      </w:tabs>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widowControl w:val="0"/>
      <w:spacing w:line="360" w:lineRule="auto"/>
      <w:jc w:val="center"/>
    </w:pPr>
    <w:rPr>
      <w:rFonts w:ascii="Bookman Old Style" w:hAnsi="Bookman Old Style"/>
      <w:sz w:val="26"/>
    </w:rPr>
  </w:style>
  <w:style w:type="paragraph" w:styleId="BodyText">
    <w:name w:val="Body Text"/>
    <w:basedOn w:val="Normal"/>
    <w:pPr>
      <w:widowControl w:val="0"/>
      <w:spacing w:line="360" w:lineRule="auto"/>
      <w:jc w:val="both"/>
    </w:pPr>
    <w:rPr>
      <w:rFonts w:ascii="Bookman Old Style" w:hAnsi="Bookman Old Style"/>
      <w:sz w:val="26"/>
    </w:rPr>
  </w:style>
  <w:style w:type="paragraph" w:styleId="BalloonText">
    <w:name w:val="Balloon Text"/>
    <w:basedOn w:val="Normal"/>
    <w:link w:val="BalloonTextChar"/>
    <w:rsid w:val="00A3049C"/>
    <w:rPr>
      <w:rFonts w:ascii="Tahoma" w:hAnsi="Tahoma" w:cs="Tahoma"/>
      <w:sz w:val="16"/>
      <w:szCs w:val="16"/>
    </w:rPr>
  </w:style>
  <w:style w:type="character" w:customStyle="1" w:styleId="BalloonTextChar">
    <w:name w:val="Balloon Text Char"/>
    <w:link w:val="BalloonText"/>
    <w:rsid w:val="00A3049C"/>
    <w:rPr>
      <w:rFonts w:ascii="Tahoma" w:hAnsi="Tahoma" w:cs="Tahoma"/>
      <w:sz w:val="16"/>
      <w:szCs w:val="16"/>
    </w:rPr>
  </w:style>
  <w:style w:type="paragraph" w:styleId="Revision">
    <w:name w:val="Revision"/>
    <w:hidden/>
    <w:uiPriority w:val="99"/>
    <w:semiHidden/>
    <w:rsid w:val="003750EE"/>
  </w:style>
  <w:style w:type="character" w:styleId="CommentReference">
    <w:name w:val="annotation reference"/>
    <w:rsid w:val="003750EE"/>
    <w:rPr>
      <w:sz w:val="16"/>
      <w:szCs w:val="16"/>
    </w:rPr>
  </w:style>
  <w:style w:type="paragraph" w:styleId="CommentText">
    <w:name w:val="annotation text"/>
    <w:basedOn w:val="Normal"/>
    <w:link w:val="CommentTextChar"/>
    <w:rsid w:val="003750EE"/>
  </w:style>
  <w:style w:type="character" w:customStyle="1" w:styleId="CommentTextChar">
    <w:name w:val="Comment Text Char"/>
    <w:basedOn w:val="DefaultParagraphFont"/>
    <w:link w:val="CommentText"/>
    <w:rsid w:val="003750EE"/>
  </w:style>
  <w:style w:type="paragraph" w:styleId="CommentSubject">
    <w:name w:val="annotation subject"/>
    <w:basedOn w:val="CommentText"/>
    <w:next w:val="CommentText"/>
    <w:link w:val="CommentSubjectChar"/>
    <w:rsid w:val="003750EE"/>
    <w:rPr>
      <w:b/>
      <w:bCs/>
    </w:rPr>
  </w:style>
  <w:style w:type="character" w:customStyle="1" w:styleId="CommentSubjectChar">
    <w:name w:val="Comment Subject Char"/>
    <w:link w:val="CommentSubject"/>
    <w:rsid w:val="003750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18</vt:lpstr>
    </vt:vector>
  </TitlesOfParts>
  <Company>Alaska Court System</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subject/>
  <dc:creator>korzechowski</dc:creator>
  <cp:keywords/>
  <dc:description/>
  <cp:lastModifiedBy>Michael Merrington</cp:lastModifiedBy>
  <cp:revision>3</cp:revision>
  <cp:lastPrinted>2015-10-07T02:11:00Z</cp:lastPrinted>
  <dcterms:created xsi:type="dcterms:W3CDTF">2017-04-04T18:50:00Z</dcterms:created>
  <dcterms:modified xsi:type="dcterms:W3CDTF">2017-04-04T18:50:00Z</dcterms:modified>
</cp:coreProperties>
</file>