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B3" w:rsidRDefault="00402AB3" w:rsidP="00153840">
      <w:pPr>
        <w:widowControl w:val="0"/>
        <w:ind w:left="1440" w:hanging="1440"/>
        <w:rPr>
          <w:rFonts w:ascii="Bookman Old Style" w:hAnsi="Bookman Old Style"/>
          <w:b/>
          <w:caps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caps/>
          <w:sz w:val="26"/>
        </w:rPr>
        <w:t>18.04</w:t>
      </w:r>
      <w:r>
        <w:rPr>
          <w:rFonts w:ascii="Bookman Old Style" w:hAnsi="Bookman Old Style"/>
          <w:b/>
          <w:caps/>
          <w:sz w:val="26"/>
        </w:rPr>
        <w:tab/>
      </w:r>
      <w:r w:rsidR="00153840">
        <w:rPr>
          <w:rFonts w:ascii="Bookman Old Style" w:hAnsi="Bookman Old Style"/>
          <w:b/>
          <w:caps/>
          <w:sz w:val="26"/>
        </w:rPr>
        <w:t xml:space="preserve">CONVERSION/INTENTIONAL INTERFERENCE WITH CHATTELS — </w:t>
      </w:r>
      <w:r>
        <w:rPr>
          <w:rFonts w:ascii="Bookman Old Style" w:hAnsi="Bookman Old Style"/>
          <w:b/>
          <w:caps/>
          <w:sz w:val="26"/>
        </w:rPr>
        <w:t>Excuse — Consent</w:t>
      </w:r>
    </w:p>
    <w:p w:rsidR="00402AB3" w:rsidRDefault="00402AB3">
      <w:pPr>
        <w:widowControl w:val="0"/>
        <w:spacing w:line="360" w:lineRule="auto"/>
        <w:jc w:val="both"/>
        <w:rPr>
          <w:rFonts w:ascii="Bookman Old Style" w:hAnsi="Bookman Old Style"/>
          <w:sz w:val="26"/>
        </w:rPr>
      </w:pPr>
    </w:p>
    <w:p w:rsidR="00402AB3" w:rsidRPr="00311996" w:rsidRDefault="00402AB3">
      <w:pPr>
        <w:widowControl w:val="0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11996">
        <w:rPr>
          <w:rFonts w:ascii="Bookman Old Style" w:hAnsi="Bookman Old Style"/>
          <w:sz w:val="24"/>
          <w:szCs w:val="24"/>
        </w:rPr>
        <w:t>The defendant claims the plaintiff [consented] [did or said something to cause the defendant to reasonably believe the plaintiff consented] to the (insert act of interference) of the (insert item of property) by the defendant.</w:t>
      </w:r>
    </w:p>
    <w:p w:rsidR="00402AB3" w:rsidRPr="00311996" w:rsidRDefault="00402AB3">
      <w:pPr>
        <w:widowControl w:val="0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02AB3" w:rsidRPr="00311996" w:rsidRDefault="00402AB3">
      <w:pPr>
        <w:pStyle w:val="BodyText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</w:tabs>
        <w:rPr>
          <w:sz w:val="24"/>
          <w:szCs w:val="24"/>
        </w:rPr>
      </w:pPr>
      <w:r w:rsidRPr="00311996">
        <w:rPr>
          <w:sz w:val="24"/>
          <w:szCs w:val="24"/>
        </w:rPr>
        <w:t xml:space="preserve">If you decide this is more likely true than not true, then </w:t>
      </w:r>
      <w:r w:rsidR="00466093" w:rsidRPr="00311996">
        <w:rPr>
          <w:sz w:val="24"/>
          <w:szCs w:val="24"/>
        </w:rPr>
        <w:t xml:space="preserve">you must find in favor of </w:t>
      </w:r>
      <w:r w:rsidRPr="00311996">
        <w:rPr>
          <w:sz w:val="24"/>
          <w:szCs w:val="24"/>
        </w:rPr>
        <w:t xml:space="preserve">the defendant </w:t>
      </w:r>
      <w:r w:rsidR="00466093" w:rsidRPr="00311996">
        <w:rPr>
          <w:sz w:val="24"/>
          <w:szCs w:val="24"/>
        </w:rPr>
        <w:t>on this claim</w:t>
      </w:r>
    </w:p>
    <w:p w:rsidR="00402AB3" w:rsidRPr="00311996" w:rsidRDefault="00402AB3">
      <w:pPr>
        <w:pStyle w:val="BodyText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</w:tabs>
        <w:rPr>
          <w:sz w:val="24"/>
          <w:szCs w:val="24"/>
        </w:rPr>
      </w:pPr>
    </w:p>
    <w:p w:rsidR="00402AB3" w:rsidRPr="00311996" w:rsidRDefault="00402AB3">
      <w:pPr>
        <w:pStyle w:val="BodyText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</w:tabs>
        <w:rPr>
          <w:sz w:val="24"/>
          <w:szCs w:val="24"/>
        </w:rPr>
      </w:pPr>
    </w:p>
    <w:p w:rsidR="00402AB3" w:rsidRPr="00311996" w:rsidRDefault="00402AB3">
      <w:pPr>
        <w:tabs>
          <w:tab w:val="right" w:pos="9513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311996">
        <w:rPr>
          <w:rFonts w:ascii="Bookman Old Style" w:hAnsi="Bookman Old Style"/>
          <w:b/>
          <w:sz w:val="24"/>
          <w:szCs w:val="24"/>
        </w:rPr>
        <w:t>Use Note</w:t>
      </w:r>
    </w:p>
    <w:p w:rsidR="00402AB3" w:rsidRPr="00311996" w:rsidRDefault="00402AB3">
      <w:pPr>
        <w:tabs>
          <w:tab w:val="right" w:pos="9513"/>
        </w:tabs>
        <w:rPr>
          <w:rFonts w:ascii="Bookman Old Style" w:hAnsi="Bookman Old Style"/>
          <w:sz w:val="24"/>
          <w:szCs w:val="24"/>
        </w:rPr>
      </w:pPr>
    </w:p>
    <w:p w:rsidR="00402AB3" w:rsidRPr="00311996" w:rsidRDefault="00402AB3">
      <w:pPr>
        <w:jc w:val="both"/>
        <w:rPr>
          <w:rFonts w:ascii="Bookman Old Style" w:hAnsi="Bookman Old Style"/>
          <w:sz w:val="24"/>
          <w:szCs w:val="24"/>
        </w:rPr>
      </w:pPr>
      <w:r w:rsidRPr="00311996">
        <w:rPr>
          <w:rFonts w:ascii="Bookman Old Style" w:hAnsi="Bookman Old Style"/>
          <w:sz w:val="24"/>
          <w:szCs w:val="24"/>
        </w:rPr>
        <w:t>This instruction should be used when the defendant raises consent as an affirmative defense.</w:t>
      </w:r>
    </w:p>
    <w:p w:rsidR="00402AB3" w:rsidRPr="00311996" w:rsidRDefault="00402AB3">
      <w:pPr>
        <w:rPr>
          <w:rFonts w:ascii="Bookman Old Style" w:hAnsi="Bookman Old Style"/>
          <w:sz w:val="24"/>
          <w:szCs w:val="24"/>
        </w:rPr>
      </w:pPr>
    </w:p>
    <w:p w:rsidR="00402AB3" w:rsidRPr="00311996" w:rsidRDefault="00402AB3">
      <w:pPr>
        <w:jc w:val="both"/>
        <w:rPr>
          <w:rFonts w:ascii="Bookman Old Style" w:hAnsi="Bookman Old Style"/>
          <w:sz w:val="24"/>
          <w:szCs w:val="24"/>
        </w:rPr>
      </w:pPr>
      <w:r w:rsidRPr="00311996">
        <w:rPr>
          <w:rFonts w:ascii="Bookman Old Style" w:hAnsi="Bookman Old Style"/>
          <w:sz w:val="24"/>
          <w:szCs w:val="24"/>
        </w:rPr>
        <w:t>In bailment settings use Instruction 21.</w:t>
      </w:r>
      <w:r w:rsidR="00F9583E" w:rsidRPr="00311996">
        <w:rPr>
          <w:rFonts w:ascii="Bookman Old Style" w:hAnsi="Bookman Old Style"/>
          <w:sz w:val="24"/>
          <w:szCs w:val="24"/>
        </w:rPr>
        <w:t>04</w:t>
      </w:r>
      <w:r w:rsidRPr="00311996">
        <w:rPr>
          <w:rFonts w:ascii="Bookman Old Style" w:hAnsi="Bookman Old Style"/>
          <w:sz w:val="24"/>
          <w:szCs w:val="24"/>
        </w:rPr>
        <w:t xml:space="preserve"> (</w:t>
      </w:r>
      <w:r w:rsidR="00466093" w:rsidRPr="00311996">
        <w:rPr>
          <w:rFonts w:ascii="Bookman Old Style" w:hAnsi="Bookman Old Style"/>
          <w:sz w:val="24"/>
          <w:szCs w:val="24"/>
        </w:rPr>
        <w:t>Affirmative Defenses</w:t>
      </w:r>
      <w:r w:rsidR="00F9583E" w:rsidRPr="00311996">
        <w:rPr>
          <w:rFonts w:ascii="Bookman Old Style" w:hAnsi="Bookman Old Style"/>
          <w:sz w:val="24"/>
          <w:szCs w:val="24"/>
        </w:rPr>
        <w:t>)</w:t>
      </w:r>
      <w:r w:rsidRPr="00311996">
        <w:rPr>
          <w:rFonts w:ascii="Bookman Old Style" w:hAnsi="Bookman Old Style"/>
          <w:sz w:val="24"/>
          <w:szCs w:val="24"/>
        </w:rPr>
        <w:t>.</w:t>
      </w:r>
    </w:p>
    <w:p w:rsidR="00402AB3" w:rsidRDefault="00402AB3">
      <w:pPr>
        <w:rPr>
          <w:rFonts w:ascii="Bookman Old Style" w:hAnsi="Bookman Old Style"/>
          <w:sz w:val="24"/>
          <w:szCs w:val="24"/>
        </w:rPr>
      </w:pPr>
    </w:p>
    <w:p w:rsidR="00311996" w:rsidRPr="00311996" w:rsidRDefault="00311996">
      <w:pPr>
        <w:rPr>
          <w:rFonts w:ascii="Bookman Old Style" w:hAnsi="Bookman Old Style"/>
          <w:sz w:val="24"/>
          <w:szCs w:val="24"/>
        </w:rPr>
      </w:pPr>
    </w:p>
    <w:p w:rsidR="00402AB3" w:rsidRPr="00311996" w:rsidRDefault="00402AB3">
      <w:pPr>
        <w:pStyle w:val="Heading1"/>
        <w:rPr>
          <w:b/>
          <w:sz w:val="24"/>
          <w:szCs w:val="24"/>
          <w:u w:val="none"/>
        </w:rPr>
      </w:pPr>
      <w:r w:rsidRPr="00311996">
        <w:rPr>
          <w:b/>
          <w:sz w:val="24"/>
          <w:szCs w:val="24"/>
          <w:u w:val="none"/>
        </w:rPr>
        <w:t>Comment</w:t>
      </w:r>
    </w:p>
    <w:p w:rsidR="00402AB3" w:rsidRPr="00311996" w:rsidRDefault="00402AB3">
      <w:pPr>
        <w:tabs>
          <w:tab w:val="right" w:pos="9513"/>
        </w:tabs>
        <w:rPr>
          <w:rFonts w:ascii="Bookman Old Style" w:hAnsi="Bookman Old Style"/>
          <w:sz w:val="24"/>
          <w:szCs w:val="24"/>
        </w:rPr>
      </w:pPr>
    </w:p>
    <w:p w:rsidR="006243A5" w:rsidRPr="00311996" w:rsidRDefault="00466093" w:rsidP="00B77579">
      <w:pPr>
        <w:widowControl w:val="0"/>
        <w:jc w:val="both"/>
        <w:rPr>
          <w:rFonts w:ascii="Bookman Old Style" w:hAnsi="Bookman Old Style"/>
          <w:sz w:val="24"/>
          <w:szCs w:val="24"/>
        </w:rPr>
      </w:pPr>
      <w:r w:rsidRPr="00311996">
        <w:rPr>
          <w:rFonts w:ascii="Bookman Old Style" w:hAnsi="Bookman Old Style"/>
          <w:sz w:val="24"/>
          <w:szCs w:val="24"/>
        </w:rPr>
        <w:t>Although t</w:t>
      </w:r>
      <w:r w:rsidR="00402AB3" w:rsidRPr="00311996">
        <w:rPr>
          <w:rFonts w:ascii="Bookman Old Style" w:hAnsi="Bookman Old Style"/>
          <w:sz w:val="24"/>
          <w:szCs w:val="24"/>
        </w:rPr>
        <w:t>he Alaska Supreme Court has not expressly held that consent is a defense to a conversion or trespass to chattels</w:t>
      </w:r>
      <w:r w:rsidRPr="00311996">
        <w:rPr>
          <w:rFonts w:ascii="Bookman Old Style" w:hAnsi="Bookman Old Style"/>
          <w:sz w:val="24"/>
          <w:szCs w:val="24"/>
        </w:rPr>
        <w:t>, it is widely held that consent is a defense</w:t>
      </w:r>
      <w:r w:rsidR="00402AB3" w:rsidRPr="00311996">
        <w:rPr>
          <w:rFonts w:ascii="Bookman Old Style" w:hAnsi="Bookman Old Style"/>
          <w:i/>
          <w:sz w:val="24"/>
          <w:szCs w:val="24"/>
        </w:rPr>
        <w:t>. E.</w:t>
      </w:r>
      <w:r w:rsidR="006243A5" w:rsidRPr="00311996">
        <w:rPr>
          <w:rFonts w:ascii="Bookman Old Style" w:hAnsi="Bookman Old Style"/>
          <w:i/>
          <w:sz w:val="24"/>
          <w:szCs w:val="24"/>
        </w:rPr>
        <w:t>g</w:t>
      </w:r>
      <w:r w:rsidR="00402AB3" w:rsidRPr="00311996">
        <w:rPr>
          <w:rFonts w:ascii="Bookman Old Style" w:hAnsi="Bookman Old Style"/>
          <w:i/>
          <w:sz w:val="24"/>
          <w:szCs w:val="24"/>
        </w:rPr>
        <w:t>., Portable Pipe Serv. Co. v. Graham</w:t>
      </w:r>
      <w:r w:rsidR="00402AB3" w:rsidRPr="00311996">
        <w:rPr>
          <w:rFonts w:ascii="Bookman Old Style" w:hAnsi="Bookman Old Style"/>
          <w:sz w:val="24"/>
          <w:szCs w:val="24"/>
        </w:rPr>
        <w:t xml:space="preserve">, 389 P.2d 985, 987 (Okla. 1964); </w:t>
      </w:r>
      <w:r w:rsidR="00402AB3" w:rsidRPr="00311996">
        <w:rPr>
          <w:rFonts w:ascii="Bookman Old Style" w:hAnsi="Bookman Old Style"/>
          <w:i/>
          <w:sz w:val="24"/>
          <w:szCs w:val="24"/>
        </w:rPr>
        <w:t>Scott v. Allstate Ins. Co</w:t>
      </w:r>
      <w:r w:rsidR="00402AB3" w:rsidRPr="00311996">
        <w:rPr>
          <w:rFonts w:ascii="Bookman Old Style" w:hAnsi="Bookman Old Style"/>
          <w:sz w:val="24"/>
          <w:szCs w:val="24"/>
        </w:rPr>
        <w:t>., 553 P.2d 1221, 1225 (Ariz. Ct. App. 1976</w:t>
      </w:r>
      <w:r w:rsidR="00216B17" w:rsidRPr="00311996">
        <w:rPr>
          <w:rFonts w:ascii="Bookman Old Style" w:hAnsi="Bookman Old Style"/>
          <w:sz w:val="24"/>
          <w:szCs w:val="24"/>
        </w:rPr>
        <w:t>).</w:t>
      </w:r>
      <w:r w:rsidR="006243A5" w:rsidRPr="00311996">
        <w:rPr>
          <w:rFonts w:ascii="Bookman Old Style" w:hAnsi="Bookman Old Style"/>
          <w:color w:val="000000"/>
          <w:sz w:val="24"/>
          <w:szCs w:val="24"/>
        </w:rPr>
        <w:t xml:space="preserve"> </w:t>
      </w:r>
    </w:p>
    <w:p w:rsidR="00402AB3" w:rsidRPr="00311996" w:rsidRDefault="00402AB3">
      <w:pPr>
        <w:jc w:val="both"/>
        <w:rPr>
          <w:rFonts w:ascii="Bookman Old Style" w:hAnsi="Bookman Old Style"/>
          <w:sz w:val="24"/>
          <w:szCs w:val="24"/>
        </w:rPr>
      </w:pPr>
    </w:p>
    <w:sectPr w:rsidR="00402AB3" w:rsidRPr="00311996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EB7" w:rsidRDefault="004C7EB7">
      <w:r>
        <w:separator/>
      </w:r>
    </w:p>
  </w:endnote>
  <w:endnote w:type="continuationSeparator" w:id="0">
    <w:p w:rsidR="004C7EB7" w:rsidRDefault="004C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B3" w:rsidRPr="00311996" w:rsidRDefault="00216B17">
    <w:pPr>
      <w:pStyle w:val="Footer"/>
      <w:tabs>
        <w:tab w:val="clear" w:pos="8640"/>
        <w:tab w:val="right" w:pos="9360"/>
      </w:tabs>
      <w:rPr>
        <w:rFonts w:ascii="Bookman Old Style" w:hAnsi="Bookman Old Style"/>
        <w:sz w:val="22"/>
        <w:szCs w:val="22"/>
      </w:rPr>
    </w:pPr>
    <w:r w:rsidRPr="00311996">
      <w:rPr>
        <w:rFonts w:ascii="Bookman Old Style" w:hAnsi="Bookman Old Style"/>
        <w:sz w:val="22"/>
        <w:szCs w:val="22"/>
      </w:rPr>
      <w:t>2015</w:t>
    </w:r>
    <w:r w:rsidR="00402AB3" w:rsidRPr="00311996">
      <w:rPr>
        <w:rFonts w:ascii="Bookman Old Style" w:hAnsi="Bookman Old Style"/>
        <w:sz w:val="22"/>
        <w:szCs w:val="22"/>
      </w:rPr>
      <w:tab/>
    </w:r>
    <w:r w:rsidR="00402AB3" w:rsidRPr="00311996">
      <w:rPr>
        <w:rFonts w:ascii="Bookman Old Style" w:hAnsi="Bookman Old Style"/>
        <w:sz w:val="22"/>
        <w:szCs w:val="22"/>
      </w:rPr>
      <w:tab/>
      <w:t>18.04</w:t>
    </w:r>
    <w:r w:rsidR="00311996">
      <w:rPr>
        <w:rFonts w:ascii="Bookman Old Style" w:hAnsi="Bookman Old Style"/>
        <w:sz w:val="22"/>
        <w:szCs w:val="22"/>
      </w:rPr>
      <w:t xml:space="preserve"> - </w:t>
    </w:r>
    <w:r w:rsidR="00311996" w:rsidRPr="00311996">
      <w:rPr>
        <w:rFonts w:ascii="Bookman Old Style" w:hAnsi="Bookman Old Style"/>
        <w:sz w:val="22"/>
        <w:szCs w:val="22"/>
      </w:rPr>
      <w:t xml:space="preserve">Page </w:t>
    </w:r>
    <w:r w:rsidR="00311996" w:rsidRPr="00311996">
      <w:rPr>
        <w:rFonts w:ascii="Bookman Old Style" w:hAnsi="Bookman Old Style"/>
        <w:sz w:val="22"/>
        <w:szCs w:val="22"/>
      </w:rPr>
      <w:fldChar w:fldCharType="begin"/>
    </w:r>
    <w:r w:rsidR="00311996" w:rsidRPr="00311996">
      <w:rPr>
        <w:rFonts w:ascii="Bookman Old Style" w:hAnsi="Bookman Old Style"/>
        <w:sz w:val="22"/>
        <w:szCs w:val="22"/>
      </w:rPr>
      <w:instrText xml:space="preserve"> PAGE  \* Arabic  \* MERGEFORMAT </w:instrText>
    </w:r>
    <w:r w:rsidR="00311996" w:rsidRPr="00311996">
      <w:rPr>
        <w:rFonts w:ascii="Bookman Old Style" w:hAnsi="Bookman Old Style"/>
        <w:sz w:val="22"/>
        <w:szCs w:val="22"/>
      </w:rPr>
      <w:fldChar w:fldCharType="separate"/>
    </w:r>
    <w:r w:rsidR="007F76AC">
      <w:rPr>
        <w:rFonts w:ascii="Bookman Old Style" w:hAnsi="Bookman Old Style"/>
        <w:noProof/>
        <w:sz w:val="22"/>
        <w:szCs w:val="22"/>
      </w:rPr>
      <w:t>1</w:t>
    </w:r>
    <w:r w:rsidR="00311996" w:rsidRPr="00311996">
      <w:rPr>
        <w:rFonts w:ascii="Bookman Old Style" w:hAnsi="Bookman Old Style"/>
        <w:sz w:val="22"/>
        <w:szCs w:val="22"/>
      </w:rPr>
      <w:fldChar w:fldCharType="end"/>
    </w:r>
    <w:r w:rsidR="00311996" w:rsidRPr="00311996">
      <w:rPr>
        <w:rFonts w:ascii="Bookman Old Style" w:hAnsi="Bookman Old Style"/>
        <w:sz w:val="22"/>
        <w:szCs w:val="22"/>
      </w:rPr>
      <w:t xml:space="preserve"> of </w:t>
    </w:r>
    <w:r w:rsidR="00311996" w:rsidRPr="00311996">
      <w:rPr>
        <w:rFonts w:ascii="Bookman Old Style" w:hAnsi="Bookman Old Style"/>
        <w:sz w:val="22"/>
        <w:szCs w:val="22"/>
      </w:rPr>
      <w:fldChar w:fldCharType="begin"/>
    </w:r>
    <w:r w:rsidR="00311996" w:rsidRPr="00311996">
      <w:rPr>
        <w:rFonts w:ascii="Bookman Old Style" w:hAnsi="Bookman Old Style"/>
        <w:sz w:val="22"/>
        <w:szCs w:val="22"/>
      </w:rPr>
      <w:instrText xml:space="preserve"> NUMPAGES  \* Arabic  \* MERGEFORMAT </w:instrText>
    </w:r>
    <w:r w:rsidR="00311996" w:rsidRPr="00311996">
      <w:rPr>
        <w:rFonts w:ascii="Bookman Old Style" w:hAnsi="Bookman Old Style"/>
        <w:sz w:val="22"/>
        <w:szCs w:val="22"/>
      </w:rPr>
      <w:fldChar w:fldCharType="separate"/>
    </w:r>
    <w:r w:rsidR="007F76AC">
      <w:rPr>
        <w:rFonts w:ascii="Bookman Old Style" w:hAnsi="Bookman Old Style"/>
        <w:noProof/>
        <w:sz w:val="22"/>
        <w:szCs w:val="22"/>
      </w:rPr>
      <w:t>1</w:t>
    </w:r>
    <w:r w:rsidR="00311996" w:rsidRPr="00311996">
      <w:rPr>
        <w:rFonts w:ascii="Bookman Old Style" w:hAnsi="Bookman Old Style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EB7" w:rsidRDefault="004C7EB7">
      <w:r>
        <w:separator/>
      </w:r>
    </w:p>
  </w:footnote>
  <w:footnote w:type="continuationSeparator" w:id="0">
    <w:p w:rsidR="004C7EB7" w:rsidRDefault="004C7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B3" w:rsidRDefault="00402AB3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rPr>
        <w:rFonts w:ascii="Bookman Old Style" w:hAnsi="Bookman Old Style"/>
        <w:vanish/>
        <w:sz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BB"/>
    <w:rsid w:val="000027E0"/>
    <w:rsid w:val="00153840"/>
    <w:rsid w:val="001F1FE0"/>
    <w:rsid w:val="001F24BD"/>
    <w:rsid w:val="00216B17"/>
    <w:rsid w:val="00311996"/>
    <w:rsid w:val="00355E7D"/>
    <w:rsid w:val="00402AB3"/>
    <w:rsid w:val="00466093"/>
    <w:rsid w:val="0048645C"/>
    <w:rsid w:val="004C7EB7"/>
    <w:rsid w:val="006243A5"/>
    <w:rsid w:val="00761A9F"/>
    <w:rsid w:val="007F76AC"/>
    <w:rsid w:val="008B09F8"/>
    <w:rsid w:val="009450BB"/>
    <w:rsid w:val="00985A54"/>
    <w:rsid w:val="009A4E30"/>
    <w:rsid w:val="00AD053C"/>
    <w:rsid w:val="00B77579"/>
    <w:rsid w:val="00D84F31"/>
    <w:rsid w:val="00F9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right" w:pos="9513"/>
      </w:tabs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360" w:lineRule="auto"/>
      <w:jc w:val="both"/>
    </w:pPr>
    <w:rPr>
      <w:rFonts w:ascii="Bookman Old Style" w:hAnsi="Bookman Old Style"/>
      <w:sz w:val="26"/>
    </w:rPr>
  </w:style>
  <w:style w:type="paragraph" w:styleId="BalloonText">
    <w:name w:val="Balloon Text"/>
    <w:basedOn w:val="Normal"/>
    <w:link w:val="BalloonTextChar"/>
    <w:rsid w:val="00624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right" w:pos="9513"/>
      </w:tabs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360" w:lineRule="auto"/>
      <w:jc w:val="both"/>
    </w:pPr>
    <w:rPr>
      <w:rFonts w:ascii="Bookman Old Style" w:hAnsi="Bookman Old Style"/>
      <w:sz w:val="26"/>
    </w:rPr>
  </w:style>
  <w:style w:type="paragraph" w:styleId="BalloonText">
    <w:name w:val="Balloon Text"/>
    <w:basedOn w:val="Normal"/>
    <w:link w:val="BalloonTextChar"/>
    <w:rsid w:val="00624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</vt:lpstr>
    </vt:vector>
  </TitlesOfParts>
  <Company>Alaska Court System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korzechowski</dc:creator>
  <cp:keywords/>
  <cp:lastModifiedBy>Michael Merrington</cp:lastModifiedBy>
  <cp:revision>3</cp:revision>
  <cp:lastPrinted>2015-10-07T02:15:00Z</cp:lastPrinted>
  <dcterms:created xsi:type="dcterms:W3CDTF">2017-04-04T18:50:00Z</dcterms:created>
  <dcterms:modified xsi:type="dcterms:W3CDTF">2017-04-04T18:50:00Z</dcterms:modified>
</cp:coreProperties>
</file>