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47" w:rsidRDefault="00305B47" w:rsidP="00DE7977">
      <w:pPr>
        <w:widowControl w:val="0"/>
        <w:ind w:left="1440" w:hanging="1440"/>
        <w:rPr>
          <w:rFonts w:ascii="Bookman Old Style" w:hAnsi="Bookman Old Style" w:cs="Bookman Old Style"/>
          <w:b/>
          <w:bCs/>
          <w:caps/>
          <w:snapToGrid w:val="0"/>
          <w:sz w:val="26"/>
          <w:szCs w:val="26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caps/>
          <w:snapToGrid w:val="0"/>
          <w:sz w:val="26"/>
          <w:szCs w:val="26"/>
        </w:rPr>
        <w:t>18.05</w:t>
      </w:r>
      <w:r>
        <w:rPr>
          <w:rFonts w:ascii="Bookman Old Style" w:hAnsi="Bookman Old Style" w:cs="Bookman Old Style"/>
          <w:b/>
          <w:bCs/>
          <w:caps/>
          <w:snapToGrid w:val="0"/>
          <w:sz w:val="26"/>
          <w:szCs w:val="26"/>
        </w:rPr>
        <w:tab/>
      </w:r>
      <w:r w:rsidR="00DE7977">
        <w:rPr>
          <w:rFonts w:ascii="Bookman Old Style" w:hAnsi="Bookman Old Style" w:cs="Bookman Old Style"/>
          <w:b/>
          <w:bCs/>
          <w:caps/>
          <w:snapToGrid w:val="0"/>
          <w:sz w:val="26"/>
          <w:szCs w:val="26"/>
        </w:rPr>
        <w:t xml:space="preserve">CONvERSION/INTENTIONAL INTERFERENCE WITH CHATTELS — Excuse — </w:t>
      </w:r>
      <w:r>
        <w:rPr>
          <w:rFonts w:ascii="Bookman Old Style" w:hAnsi="Bookman Old Style" w:cs="Bookman Old Style"/>
          <w:b/>
          <w:bCs/>
          <w:caps/>
          <w:snapToGrid w:val="0"/>
          <w:sz w:val="26"/>
          <w:szCs w:val="26"/>
        </w:rPr>
        <w:t>Repossessions</w:t>
      </w:r>
    </w:p>
    <w:p w:rsidR="00305B47" w:rsidRDefault="00305B47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305B47" w:rsidRPr="00AD0AAF" w:rsidRDefault="003662D0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  <w:rPr>
          <w:sz w:val="24"/>
          <w:szCs w:val="24"/>
        </w:rPr>
      </w:pPr>
      <w:r w:rsidRPr="00AD0AAF">
        <w:rPr>
          <w:sz w:val="24"/>
          <w:szCs w:val="24"/>
        </w:rPr>
        <w:t>The defendant claims (he)(she)</w:t>
      </w:r>
      <w:r w:rsidR="00305B47" w:rsidRPr="00AD0AAF">
        <w:rPr>
          <w:sz w:val="24"/>
          <w:szCs w:val="24"/>
        </w:rPr>
        <w:t>(it) had a legal right to repossess (insert item of property).</w:t>
      </w:r>
    </w:p>
    <w:p w:rsidR="00305B47" w:rsidRPr="00AD0AAF" w:rsidRDefault="00305B47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</w:p>
    <w:p w:rsidR="00305B47" w:rsidRPr="00AD0AAF" w:rsidRDefault="00305B47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 w:rsidRPr="00AD0AAF">
        <w:rPr>
          <w:rFonts w:ascii="Bookman Old Style" w:hAnsi="Bookman Old Style" w:cs="Bookman Old Style"/>
          <w:snapToGrid w:val="0"/>
          <w:sz w:val="24"/>
          <w:szCs w:val="24"/>
        </w:rPr>
        <w:t>The defendant had a legal right to repossess the (insert item of property) if:</w:t>
      </w:r>
    </w:p>
    <w:p w:rsidR="00AD0AAF" w:rsidRPr="00AD0AAF" w:rsidRDefault="00AD0AAF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</w:p>
    <w:p w:rsidR="00305B47" w:rsidRPr="00AD0AAF" w:rsidRDefault="00305B47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 w:rsidRPr="00AD0AAF">
        <w:rPr>
          <w:rFonts w:ascii="Bookman Old Style" w:hAnsi="Bookman Old Style" w:cs="Bookman Old Style"/>
          <w:snapToGrid w:val="0"/>
          <w:sz w:val="24"/>
          <w:szCs w:val="24"/>
        </w:rPr>
        <w:t xml:space="preserve">(Insert elements necessary to establish the defendant's legal right to repossess the property, e.g., </w:t>
      </w:r>
    </w:p>
    <w:p w:rsidR="00305B47" w:rsidRPr="00AD0AAF" w:rsidRDefault="00305B47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</w:p>
    <w:p w:rsidR="00305B47" w:rsidRPr="00AD0AAF" w:rsidRDefault="00305B47">
      <w:pPr>
        <w:widowControl w:val="0"/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 w:rsidRPr="00AD0AAF">
        <w:rPr>
          <w:rFonts w:ascii="Bookman Old Style" w:hAnsi="Bookman Old Style" w:cs="Bookman Old Style"/>
          <w:snapToGrid w:val="0"/>
          <w:sz w:val="24"/>
          <w:szCs w:val="24"/>
        </w:rPr>
        <w:t>(1)</w:t>
      </w:r>
      <w:r w:rsidRPr="00AD0AAF">
        <w:rPr>
          <w:rFonts w:ascii="Bookman Old Style" w:hAnsi="Bookman Old Style" w:cs="Bookman Old Style"/>
          <w:snapToGrid w:val="0"/>
          <w:sz w:val="24"/>
          <w:szCs w:val="24"/>
        </w:rPr>
        <w:tab/>
        <w:t xml:space="preserve">existence of a contract of sale or security agreement, </w:t>
      </w:r>
    </w:p>
    <w:p w:rsidR="00305B47" w:rsidRPr="00AD0AAF" w:rsidRDefault="00305B47">
      <w:pPr>
        <w:widowControl w:val="0"/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</w:p>
    <w:p w:rsidR="00305B47" w:rsidRPr="00AD0AAF" w:rsidRDefault="00305B47">
      <w:pPr>
        <w:widowControl w:val="0"/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 w:rsidRPr="00AD0AAF">
        <w:rPr>
          <w:rFonts w:ascii="Bookman Old Style" w:hAnsi="Bookman Old Style" w:cs="Bookman Old Style"/>
          <w:snapToGrid w:val="0"/>
          <w:sz w:val="24"/>
          <w:szCs w:val="24"/>
        </w:rPr>
        <w:t>(2)</w:t>
      </w:r>
      <w:r w:rsidRPr="00AD0AAF">
        <w:rPr>
          <w:rFonts w:ascii="Bookman Old Style" w:hAnsi="Bookman Old Style" w:cs="Bookman Old Style"/>
          <w:snapToGrid w:val="0"/>
          <w:sz w:val="24"/>
          <w:szCs w:val="24"/>
        </w:rPr>
        <w:tab/>
        <w:t>breach of the contract of sale or security agreement) [and]</w:t>
      </w:r>
    </w:p>
    <w:p w:rsidR="00305B47" w:rsidRPr="00AD0AAF" w:rsidRDefault="00305B47">
      <w:pPr>
        <w:widowControl w:val="0"/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</w:p>
    <w:p w:rsidR="00305B47" w:rsidRPr="00AD0AAF" w:rsidRDefault="003662D0">
      <w:pPr>
        <w:widowControl w:val="0"/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 w:rsidRPr="00AD0AAF">
        <w:rPr>
          <w:rFonts w:ascii="Bookman Old Style" w:hAnsi="Bookman Old Style" w:cs="Bookman Old Style"/>
          <w:snapToGrid w:val="0"/>
          <w:sz w:val="24"/>
          <w:szCs w:val="24"/>
        </w:rPr>
        <w:t>[(3)</w:t>
      </w:r>
      <w:r w:rsidRPr="00AD0AAF">
        <w:rPr>
          <w:rFonts w:ascii="Bookman Old Style" w:hAnsi="Bookman Old Style" w:cs="Bookman Old Style"/>
          <w:snapToGrid w:val="0"/>
          <w:sz w:val="24"/>
          <w:szCs w:val="24"/>
        </w:rPr>
        <w:tab/>
        <w:t>t</w:t>
      </w:r>
      <w:r w:rsidR="00305B47" w:rsidRPr="00AD0AAF">
        <w:rPr>
          <w:rFonts w:ascii="Bookman Old Style" w:hAnsi="Bookman Old Style" w:cs="Bookman Old Style"/>
          <w:snapToGrid w:val="0"/>
          <w:sz w:val="24"/>
          <w:szCs w:val="24"/>
        </w:rPr>
        <w:t>he defendant acted reasonably in taking back the (insert item of property) and did so without causing a breach of the peace.]</w:t>
      </w:r>
    </w:p>
    <w:p w:rsidR="00305B47" w:rsidRPr="00AD0AAF" w:rsidRDefault="00305B47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</w:p>
    <w:p w:rsidR="00305B47" w:rsidRPr="00AD0AAF" w:rsidRDefault="00305B47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4"/>
          <w:szCs w:val="24"/>
        </w:rPr>
      </w:pPr>
      <w:r w:rsidRPr="00AD0AAF">
        <w:rPr>
          <w:rFonts w:ascii="Bookman Old Style" w:hAnsi="Bookman Old Style" w:cs="Bookman Old Style"/>
          <w:snapToGrid w:val="0"/>
          <w:sz w:val="24"/>
          <w:szCs w:val="24"/>
        </w:rPr>
        <w:t xml:space="preserve">If you decide these things are more likely true than not true, then </w:t>
      </w:r>
      <w:r w:rsidR="00C90A1F" w:rsidRPr="00AD0AAF">
        <w:rPr>
          <w:rFonts w:ascii="Bookman Old Style" w:hAnsi="Bookman Old Style" w:cs="Bookman Old Style"/>
          <w:snapToGrid w:val="0"/>
          <w:sz w:val="24"/>
          <w:szCs w:val="24"/>
        </w:rPr>
        <w:t>you must find in favor of the defendant on this claim.</w:t>
      </w:r>
    </w:p>
    <w:p w:rsidR="00305B47" w:rsidRPr="00AD0AAF" w:rsidRDefault="00305B47">
      <w:pPr>
        <w:widowControl w:val="0"/>
        <w:spacing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305B47" w:rsidRPr="00AD0AAF" w:rsidRDefault="00305B47">
      <w:pPr>
        <w:pStyle w:val="Heading1"/>
        <w:rPr>
          <w:b/>
          <w:sz w:val="24"/>
          <w:szCs w:val="24"/>
          <w:u w:val="none"/>
        </w:rPr>
      </w:pPr>
      <w:r w:rsidRPr="00AD0AAF">
        <w:rPr>
          <w:b/>
          <w:sz w:val="24"/>
          <w:szCs w:val="24"/>
          <w:u w:val="none"/>
        </w:rPr>
        <w:t>Use Note</w:t>
      </w:r>
    </w:p>
    <w:p w:rsidR="00305B47" w:rsidRPr="00AD0AAF" w:rsidRDefault="00305B47">
      <w:pPr>
        <w:tabs>
          <w:tab w:val="right" w:pos="5573"/>
        </w:tabs>
        <w:jc w:val="center"/>
        <w:rPr>
          <w:rFonts w:ascii="Bookman Old Style" w:hAnsi="Bookman Old Style" w:cs="Bookman Old Style"/>
          <w:b/>
          <w:sz w:val="24"/>
          <w:szCs w:val="24"/>
          <w:u w:val="single"/>
        </w:rPr>
      </w:pPr>
    </w:p>
    <w:p w:rsidR="00305B47" w:rsidRPr="00AD0AAF" w:rsidRDefault="00305B47" w:rsidP="00AD0AAF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AD0AAF">
        <w:rPr>
          <w:rFonts w:ascii="Bookman Old Style" w:hAnsi="Bookman Old Style" w:cs="Bookman Old Style"/>
          <w:sz w:val="24"/>
          <w:szCs w:val="24"/>
        </w:rPr>
        <w:t>This instruction should be used whenever it is asserted that the conversion or trespass to chattel was privileged because it was a repossession by a creditor or other person entitled to repossess property.</w:t>
      </w:r>
    </w:p>
    <w:p w:rsidR="00305B47" w:rsidRPr="00AD0AAF" w:rsidRDefault="00305B47" w:rsidP="00AD0AAF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305B47" w:rsidRPr="00AD0AAF" w:rsidRDefault="00305B47" w:rsidP="00AD0AAF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AD0AAF">
        <w:rPr>
          <w:rFonts w:ascii="Bookman Old Style" w:hAnsi="Bookman Old Style" w:cs="Bookman Old Style"/>
          <w:sz w:val="24"/>
          <w:szCs w:val="24"/>
        </w:rPr>
        <w:t>If possible, the court should insert the specific act of the defendant in this instruction or, if that is too complex, general language describing the act of interference.</w:t>
      </w:r>
    </w:p>
    <w:p w:rsidR="00305B47" w:rsidRPr="00AD0AAF" w:rsidRDefault="00305B47" w:rsidP="00AD0AAF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305B47" w:rsidRPr="00AD0AAF" w:rsidRDefault="00305B47" w:rsidP="00AD0AAF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AD0AAF">
        <w:rPr>
          <w:rFonts w:ascii="Bookman Old Style" w:hAnsi="Bookman Old Style" w:cs="Bookman Old Style"/>
          <w:sz w:val="24"/>
          <w:szCs w:val="24"/>
        </w:rPr>
        <w:t>For use of the bracketed item 3, see the Comment below.</w:t>
      </w:r>
    </w:p>
    <w:p w:rsidR="00305B47" w:rsidRDefault="00305B47" w:rsidP="00AD0AAF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:rsidR="00AD0AAF" w:rsidRDefault="00AD0AAF" w:rsidP="00AD0AAF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:rsidR="00AD0AAF" w:rsidRPr="00AD0AAF" w:rsidRDefault="00AD0AAF" w:rsidP="00AD0AAF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:rsidR="00305B47" w:rsidRPr="00AD0AAF" w:rsidRDefault="00305B47">
      <w:pPr>
        <w:pStyle w:val="Heading1"/>
        <w:tabs>
          <w:tab w:val="clear" w:pos="5573"/>
          <w:tab w:val="right" w:pos="9360"/>
        </w:tabs>
        <w:rPr>
          <w:b/>
          <w:sz w:val="24"/>
          <w:szCs w:val="24"/>
          <w:u w:val="none"/>
        </w:rPr>
      </w:pPr>
      <w:r w:rsidRPr="00AD0AAF">
        <w:rPr>
          <w:b/>
          <w:sz w:val="24"/>
          <w:szCs w:val="24"/>
          <w:u w:val="none"/>
        </w:rPr>
        <w:lastRenderedPageBreak/>
        <w:t>Comment</w:t>
      </w:r>
    </w:p>
    <w:p w:rsidR="00305B47" w:rsidRPr="00AD0AAF" w:rsidRDefault="00305B47">
      <w:pPr>
        <w:tabs>
          <w:tab w:val="right" w:pos="9560"/>
        </w:tabs>
        <w:rPr>
          <w:rFonts w:ascii="Bookman Old Style" w:hAnsi="Bookman Old Style" w:cs="Bookman Old Style"/>
          <w:sz w:val="24"/>
          <w:szCs w:val="24"/>
        </w:rPr>
      </w:pPr>
    </w:p>
    <w:p w:rsidR="00305B47" w:rsidRPr="00AD0AAF" w:rsidRDefault="00305B47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AD0AAF">
        <w:rPr>
          <w:rFonts w:ascii="Bookman Old Style" w:hAnsi="Bookman Old Style" w:cs="Bookman Old Style"/>
          <w:sz w:val="24"/>
          <w:szCs w:val="24"/>
        </w:rPr>
        <w:t xml:space="preserve">A valid repossession by the defendant constitutes a defense to a conversion action.  </w:t>
      </w:r>
      <w:r w:rsidRPr="00AD0AAF">
        <w:rPr>
          <w:rFonts w:ascii="Bookman Old Style" w:hAnsi="Bookman Old Style" w:cs="Bookman Old Style"/>
          <w:i/>
          <w:sz w:val="24"/>
          <w:szCs w:val="24"/>
        </w:rPr>
        <w:t>Hollembaek v. Alaska Rural Rehabilitation Corp</w:t>
      </w:r>
      <w:r w:rsidRPr="00AD0AAF">
        <w:rPr>
          <w:rFonts w:ascii="Bookman Old Style" w:hAnsi="Bookman Old Style" w:cs="Bookman Old Style"/>
          <w:sz w:val="24"/>
          <w:szCs w:val="24"/>
        </w:rPr>
        <w:t>.</w:t>
      </w:r>
      <w:r w:rsidR="001564EA" w:rsidRPr="00AD0AAF">
        <w:rPr>
          <w:rFonts w:ascii="Bookman Old Style" w:hAnsi="Bookman Old Style" w:cs="Bookman Old Style"/>
          <w:sz w:val="24"/>
          <w:szCs w:val="24"/>
        </w:rPr>
        <w:t>,</w:t>
      </w:r>
      <w:r w:rsidRPr="00AD0AAF">
        <w:rPr>
          <w:rFonts w:ascii="Bookman Old Style" w:hAnsi="Bookman Old Style" w:cs="Bookman Old Style"/>
          <w:sz w:val="24"/>
          <w:szCs w:val="24"/>
        </w:rPr>
        <w:t xml:space="preserve"> 447 P.2d 67, 71 (Alaska 1968); Restatement (Second) of Torts § 183, 272 (1965).  Repossession is authorized in Alaska by statute:</w:t>
      </w:r>
    </w:p>
    <w:p w:rsidR="00305B47" w:rsidRPr="00AD0AAF" w:rsidRDefault="00305B47">
      <w:pPr>
        <w:rPr>
          <w:rFonts w:ascii="Bookman Old Style" w:hAnsi="Bookman Old Style" w:cs="Bookman Old Style"/>
          <w:sz w:val="24"/>
          <w:szCs w:val="24"/>
        </w:rPr>
      </w:pPr>
    </w:p>
    <w:p w:rsidR="00305B47" w:rsidRPr="00AD0AAF" w:rsidRDefault="00305B47">
      <w:pPr>
        <w:ind w:left="720" w:right="720"/>
        <w:jc w:val="both"/>
        <w:rPr>
          <w:rFonts w:ascii="Bookman Old Style" w:hAnsi="Bookman Old Style" w:cs="Bookman Old Style"/>
          <w:sz w:val="24"/>
          <w:szCs w:val="24"/>
        </w:rPr>
      </w:pPr>
      <w:r w:rsidRPr="00AD0AAF">
        <w:rPr>
          <w:rFonts w:ascii="Bookman Old Style" w:hAnsi="Bookman Old Style" w:cs="Bookman Old Style"/>
          <w:sz w:val="24"/>
          <w:szCs w:val="24"/>
        </w:rPr>
        <w:t>Unless otherwise agreed, a secured party has on default the right to take possession of the collateral.  In taking possession, a secured party may proceed without judicial process if this can be done without breach of the peace.</w:t>
      </w:r>
    </w:p>
    <w:p w:rsidR="00305B47" w:rsidRPr="00AD0AAF" w:rsidRDefault="00305B47">
      <w:pPr>
        <w:rPr>
          <w:rFonts w:ascii="Bookman Old Style" w:hAnsi="Bookman Old Style" w:cs="Bookman Old Style"/>
          <w:sz w:val="24"/>
          <w:szCs w:val="24"/>
        </w:rPr>
      </w:pPr>
    </w:p>
    <w:p w:rsidR="00305B47" w:rsidRPr="00AD0AAF" w:rsidRDefault="00305B47">
      <w:pPr>
        <w:rPr>
          <w:rFonts w:ascii="Bookman Old Style" w:hAnsi="Bookman Old Style" w:cs="Bookman Old Style"/>
          <w:sz w:val="24"/>
          <w:szCs w:val="24"/>
        </w:rPr>
      </w:pPr>
      <w:r w:rsidRPr="00AD0AAF">
        <w:rPr>
          <w:rFonts w:ascii="Bookman Old Style" w:hAnsi="Bookman Old Style" w:cs="Bookman Old Style"/>
          <w:sz w:val="24"/>
          <w:szCs w:val="24"/>
        </w:rPr>
        <w:t>AS 45.09.503.</w:t>
      </w:r>
    </w:p>
    <w:p w:rsidR="002D0423" w:rsidRPr="00AD0AAF" w:rsidRDefault="002D0423">
      <w:pPr>
        <w:rPr>
          <w:rFonts w:ascii="Bookman Old Style" w:hAnsi="Bookman Old Style" w:cs="Bookman Old Style"/>
          <w:sz w:val="24"/>
          <w:szCs w:val="24"/>
        </w:rPr>
      </w:pP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AD0AAF">
        <w:rPr>
          <w:rFonts w:ascii="Bookman Old Style" w:hAnsi="Bookman Old Style"/>
          <w:sz w:val="24"/>
          <w:szCs w:val="24"/>
        </w:rPr>
        <w:t xml:space="preserve">AS 45.29.625(b) also states that a secured party is liable for “damages in the amount of any loss caused by a failure to comply with this chapter,” which includes the requirement that a repossessing party not breach the peace during any repossession.  AS 45.29.625(b).  The Alaska Supreme Court has not ruled whether a breach of the peace destroys the privilege under Alaska law, including AS 45.29.625(b), or only exposes the repossessing party to a claim for damages arising out of any torts committed by the repossessing party during the course of the repossession.  </w:t>
      </w: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AD0AAF">
        <w:rPr>
          <w:rFonts w:ascii="Bookman Old Style" w:hAnsi="Bookman Old Style"/>
          <w:sz w:val="24"/>
          <w:szCs w:val="24"/>
        </w:rPr>
        <w:t xml:space="preserve">Some cases from other jurisdictions hold that a breach of the peace destroys the privilege and exposes the repossessing party to a claim for wrongful repossession as well as a claim for damages arising out of any tort (e.g. assault and battery, trespass, etc.) committed during the breach of the peace.  </w:t>
      </w:r>
      <w:r w:rsidRPr="00AD0AAF">
        <w:rPr>
          <w:rFonts w:ascii="Bookman Old Style" w:hAnsi="Bookman Old Style"/>
          <w:i/>
          <w:sz w:val="24"/>
          <w:szCs w:val="24"/>
        </w:rPr>
        <w:t>See, e.g. Morris v. First National Bank and Trust Co. of Ravenna</w:t>
      </w:r>
      <w:r w:rsidRPr="00AD0AAF">
        <w:rPr>
          <w:rFonts w:ascii="Bookman Old Style" w:hAnsi="Bookman Old Style"/>
          <w:sz w:val="24"/>
          <w:szCs w:val="24"/>
        </w:rPr>
        <w:t xml:space="preserve">, 254 N.E.2d 683 (Ohio 1970).  In contrast, others hold that while a breach of peace exposes the repossessing party to a claim for damages arising out of any tort committed during the breach of the peace, the repossessing party cannot be liable for the repossession itself.  </w:t>
      </w:r>
      <w:r w:rsidRPr="00AD0AAF">
        <w:rPr>
          <w:rFonts w:ascii="Bookman Old Style" w:hAnsi="Bookman Old Style"/>
          <w:i/>
          <w:sz w:val="24"/>
          <w:szCs w:val="24"/>
        </w:rPr>
        <w:t xml:space="preserve">See, e.g. Callaway v. Whittenton, </w:t>
      </w:r>
      <w:r w:rsidRPr="00AD0AAF">
        <w:rPr>
          <w:rFonts w:ascii="Bookman Old Style" w:hAnsi="Bookman Old Style"/>
          <w:sz w:val="24"/>
          <w:szCs w:val="24"/>
        </w:rPr>
        <w:t xml:space="preserve">892 So.2d 852 (Ala. 2004).  </w:t>
      </w: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AD0AAF">
        <w:rPr>
          <w:rFonts w:ascii="Bookman Old Style" w:hAnsi="Bookman Old Style"/>
          <w:sz w:val="24"/>
          <w:szCs w:val="24"/>
        </w:rPr>
        <w:t>The Commentary to the Uniform Commercial Code, upon which AS 45.09.503 and AS 45.29.625(b) are based, states:</w:t>
      </w: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:rsidR="002D0423" w:rsidRPr="00AD0AAF" w:rsidRDefault="002D0423" w:rsidP="002D0423">
      <w:pPr>
        <w:overflowPunct w:val="0"/>
        <w:adjustRightInd w:val="0"/>
        <w:ind w:left="720" w:right="72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AD0AAF">
        <w:rPr>
          <w:rFonts w:ascii="Bookman Old Style" w:hAnsi="Bookman Old Style"/>
          <w:sz w:val="24"/>
          <w:szCs w:val="24"/>
        </w:rPr>
        <w:t xml:space="preserve">Damages for violation of the requirements of this Article, including Section 9-609 [requiring that the repossessing party act reasonably and not commit a breach of the peace], are those reasonably calculated to put an eligible claimant in the position that it would have occupied had no violation occurred. See Section 1-106. </w:t>
      </w:r>
      <w:r w:rsidRPr="00AD0AAF">
        <w:rPr>
          <w:rFonts w:ascii="Bookman Old Style" w:hAnsi="Bookman Old Style"/>
          <w:b/>
          <w:i/>
          <w:sz w:val="24"/>
          <w:szCs w:val="24"/>
          <w:u w:val="single"/>
        </w:rPr>
        <w:t>Subsection (b) supports the recovery of actual damages for committing a breach of the peace in violation of Section 9-609, and principles of tort law supplement this subsection</w:t>
      </w:r>
      <w:r w:rsidRPr="00AD0AAF">
        <w:rPr>
          <w:rFonts w:ascii="Bookman Old Style" w:hAnsi="Bookman Old Style"/>
          <w:sz w:val="24"/>
          <w:szCs w:val="24"/>
        </w:rPr>
        <w:t xml:space="preserve">. See Section 1-103. However, to the extent that damages in tort </w:t>
      </w:r>
      <w:r w:rsidRPr="00AD0AAF">
        <w:rPr>
          <w:rFonts w:ascii="Bookman Old Style" w:hAnsi="Bookman Old Style"/>
          <w:sz w:val="24"/>
          <w:szCs w:val="24"/>
        </w:rPr>
        <w:lastRenderedPageBreak/>
        <w:t>compensate the debtor for the same loss dealt with by this Article, the debtor should be entitled to only one recovery.</w:t>
      </w: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AD0AAF">
        <w:rPr>
          <w:rFonts w:ascii="Bookman Old Style" w:hAnsi="Bookman Old Style"/>
          <w:sz w:val="24"/>
          <w:szCs w:val="24"/>
        </w:rPr>
        <w:t xml:space="preserve">Uniform Commercial Code § 9-625, Comment 4 (emphasis added).  </w:t>
      </w: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AD0AAF">
        <w:rPr>
          <w:rFonts w:ascii="Bookman Old Style" w:hAnsi="Bookman Old Style"/>
          <w:sz w:val="24"/>
          <w:szCs w:val="24"/>
        </w:rPr>
        <w:t xml:space="preserve">The court must decide, under the facts and circumstances of each case, the consequences of a repossessing party’s breach of the peace during a repossession.  </w:t>
      </w: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AD0AAF">
        <w:rPr>
          <w:rFonts w:ascii="Bookman Old Style" w:hAnsi="Bookman Old Style"/>
          <w:sz w:val="24"/>
          <w:szCs w:val="24"/>
        </w:rPr>
        <w:t xml:space="preserve">Bracketed item 3 should only be given if the court decides that a breach of the peace destroys the privilege.  Any tort claims that a party might have against the repossessing party that arise out of a repossession should be addressed by separate instructions.  </w:t>
      </w:r>
    </w:p>
    <w:p w:rsidR="002D0423" w:rsidRPr="00AD0AAF" w:rsidRDefault="002D0423" w:rsidP="002D0423">
      <w:pPr>
        <w:overflowPunct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:rsidR="00305B47" w:rsidRPr="00AD0AAF" w:rsidRDefault="00305B47">
      <w:pPr>
        <w:rPr>
          <w:rFonts w:ascii="Bookman Old Style" w:hAnsi="Bookman Old Style" w:cs="Bookman Old Style"/>
          <w:sz w:val="24"/>
          <w:szCs w:val="24"/>
        </w:rPr>
      </w:pPr>
    </w:p>
    <w:sectPr w:rsidR="00305B47" w:rsidRPr="00AD0AAF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64" w:rsidRDefault="00003364">
      <w:r>
        <w:separator/>
      </w:r>
    </w:p>
  </w:endnote>
  <w:endnote w:type="continuationSeparator" w:id="0">
    <w:p w:rsidR="00003364" w:rsidRDefault="0000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47" w:rsidRDefault="00244F71">
    <w:pPr>
      <w:pStyle w:val="Footer"/>
      <w:tabs>
        <w:tab w:val="clear" w:pos="8640"/>
        <w:tab w:val="right" w:pos="9270"/>
      </w:tabs>
      <w:rPr>
        <w:rFonts w:ascii="Bookman Old Style" w:hAnsi="Bookman Old Style" w:cs="Bookman Old Style"/>
        <w:sz w:val="24"/>
        <w:szCs w:val="24"/>
      </w:rPr>
    </w:pPr>
    <w:r>
      <w:rPr>
        <w:rFonts w:ascii="Bookman Old Style" w:hAnsi="Bookman Old Style" w:cs="Bookman Old Style"/>
        <w:sz w:val="24"/>
        <w:szCs w:val="24"/>
      </w:rPr>
      <w:t>2015</w:t>
    </w:r>
    <w:r w:rsidR="00AD0AAF">
      <w:rPr>
        <w:rFonts w:ascii="Bookman Old Style" w:hAnsi="Bookman Old Style" w:cs="Bookman Old Style"/>
        <w:sz w:val="24"/>
        <w:szCs w:val="24"/>
      </w:rPr>
      <w:tab/>
    </w:r>
    <w:r w:rsidR="00AD0AAF">
      <w:rPr>
        <w:rFonts w:ascii="Bookman Old Style" w:hAnsi="Bookman Old Style" w:cs="Bookman Old Style"/>
        <w:sz w:val="24"/>
        <w:szCs w:val="24"/>
      </w:rPr>
      <w:tab/>
      <w:t xml:space="preserve">18.05 - </w:t>
    </w:r>
    <w:r w:rsidR="00AD0AAF" w:rsidRPr="00AD0AAF">
      <w:rPr>
        <w:rFonts w:ascii="Bookman Old Style" w:hAnsi="Bookman Old Style" w:cs="Bookman Old Style"/>
        <w:sz w:val="24"/>
        <w:szCs w:val="24"/>
      </w:rPr>
      <w:t xml:space="preserve">Page </w:t>
    </w:r>
    <w:r w:rsidR="00AD0AAF" w:rsidRPr="00AD0AAF">
      <w:rPr>
        <w:rFonts w:ascii="Bookman Old Style" w:hAnsi="Bookman Old Style" w:cs="Bookman Old Style"/>
        <w:sz w:val="24"/>
        <w:szCs w:val="24"/>
      </w:rPr>
      <w:fldChar w:fldCharType="begin"/>
    </w:r>
    <w:r w:rsidR="00AD0AAF" w:rsidRPr="00AD0AAF">
      <w:rPr>
        <w:rFonts w:ascii="Bookman Old Style" w:hAnsi="Bookman Old Style" w:cs="Bookman Old Style"/>
        <w:sz w:val="24"/>
        <w:szCs w:val="24"/>
      </w:rPr>
      <w:instrText xml:space="preserve"> PAGE  \* Arabic  \* MERGEFORMAT </w:instrText>
    </w:r>
    <w:r w:rsidR="00AD0AAF" w:rsidRPr="00AD0AAF">
      <w:rPr>
        <w:rFonts w:ascii="Bookman Old Style" w:hAnsi="Bookman Old Style" w:cs="Bookman Old Style"/>
        <w:sz w:val="24"/>
        <w:szCs w:val="24"/>
      </w:rPr>
      <w:fldChar w:fldCharType="separate"/>
    </w:r>
    <w:r w:rsidR="007C113B">
      <w:rPr>
        <w:rFonts w:ascii="Bookman Old Style" w:hAnsi="Bookman Old Style" w:cs="Bookman Old Style"/>
        <w:noProof/>
        <w:sz w:val="24"/>
        <w:szCs w:val="24"/>
      </w:rPr>
      <w:t>1</w:t>
    </w:r>
    <w:r w:rsidR="00AD0AAF" w:rsidRPr="00AD0AAF">
      <w:rPr>
        <w:rFonts w:ascii="Bookman Old Style" w:hAnsi="Bookman Old Style" w:cs="Bookman Old Style"/>
        <w:sz w:val="24"/>
        <w:szCs w:val="24"/>
      </w:rPr>
      <w:fldChar w:fldCharType="end"/>
    </w:r>
    <w:r w:rsidR="00AD0AAF" w:rsidRPr="00AD0AAF">
      <w:rPr>
        <w:rFonts w:ascii="Bookman Old Style" w:hAnsi="Bookman Old Style" w:cs="Bookman Old Style"/>
        <w:sz w:val="24"/>
        <w:szCs w:val="24"/>
      </w:rPr>
      <w:t xml:space="preserve"> of </w:t>
    </w:r>
    <w:r w:rsidR="00AD0AAF" w:rsidRPr="00AD0AAF">
      <w:rPr>
        <w:rFonts w:ascii="Bookman Old Style" w:hAnsi="Bookman Old Style" w:cs="Bookman Old Style"/>
        <w:sz w:val="24"/>
        <w:szCs w:val="24"/>
      </w:rPr>
      <w:fldChar w:fldCharType="begin"/>
    </w:r>
    <w:r w:rsidR="00AD0AAF" w:rsidRPr="00AD0AAF">
      <w:rPr>
        <w:rFonts w:ascii="Bookman Old Style" w:hAnsi="Bookman Old Style" w:cs="Bookman Old Style"/>
        <w:sz w:val="24"/>
        <w:szCs w:val="24"/>
      </w:rPr>
      <w:instrText xml:space="preserve"> NUMPAGES  \* Arabic  \* MERGEFORMAT </w:instrText>
    </w:r>
    <w:r w:rsidR="00AD0AAF" w:rsidRPr="00AD0AAF">
      <w:rPr>
        <w:rFonts w:ascii="Bookman Old Style" w:hAnsi="Bookman Old Style" w:cs="Bookman Old Style"/>
        <w:sz w:val="24"/>
        <w:szCs w:val="24"/>
      </w:rPr>
      <w:fldChar w:fldCharType="separate"/>
    </w:r>
    <w:r w:rsidR="007C113B">
      <w:rPr>
        <w:rFonts w:ascii="Bookman Old Style" w:hAnsi="Bookman Old Style" w:cs="Bookman Old Style"/>
        <w:noProof/>
        <w:sz w:val="24"/>
        <w:szCs w:val="24"/>
      </w:rPr>
      <w:t>3</w:t>
    </w:r>
    <w:r w:rsidR="00AD0AAF" w:rsidRPr="00AD0AAF">
      <w:rPr>
        <w:rFonts w:ascii="Bookman Old Style" w:hAnsi="Bookman Old Style" w:cs="Bookman Old Styl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64" w:rsidRDefault="00003364">
      <w:r>
        <w:separator/>
      </w:r>
    </w:p>
  </w:footnote>
  <w:footnote w:type="continuationSeparator" w:id="0">
    <w:p w:rsidR="00003364" w:rsidRDefault="0000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47" w:rsidRDefault="00305B4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rPr>
        <w:rFonts w:ascii="Bookman Old Style" w:hAnsi="Bookman Old Style" w:cs="Bookman Old Style"/>
        <w:snapToGrid w:val="0"/>
        <w:vanish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3A"/>
    <w:rsid w:val="00003364"/>
    <w:rsid w:val="001564EA"/>
    <w:rsid w:val="00244F71"/>
    <w:rsid w:val="002D0423"/>
    <w:rsid w:val="00305B47"/>
    <w:rsid w:val="003662D0"/>
    <w:rsid w:val="00421716"/>
    <w:rsid w:val="0069000A"/>
    <w:rsid w:val="007C113B"/>
    <w:rsid w:val="0089602A"/>
    <w:rsid w:val="009C7C7B"/>
    <w:rsid w:val="00AD0AAF"/>
    <w:rsid w:val="00B32C3A"/>
    <w:rsid w:val="00C90A1F"/>
    <w:rsid w:val="00DA3145"/>
    <w:rsid w:val="00DE7977"/>
    <w:rsid w:val="00E05A19"/>
    <w:rsid w:val="00E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5573"/>
      </w:tabs>
      <w:jc w:val="center"/>
      <w:outlineLvl w:val="0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A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62D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C7C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C7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C7C7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C7C7B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5573"/>
      </w:tabs>
      <w:jc w:val="center"/>
      <w:outlineLvl w:val="0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A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62D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C7C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C7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C7C7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C7C7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korzechowski</dc:creator>
  <cp:lastModifiedBy>Michael Merrington</cp:lastModifiedBy>
  <cp:revision>2</cp:revision>
  <cp:lastPrinted>2015-10-07T01:44:00Z</cp:lastPrinted>
  <dcterms:created xsi:type="dcterms:W3CDTF">2017-04-04T19:56:00Z</dcterms:created>
  <dcterms:modified xsi:type="dcterms:W3CDTF">2017-04-04T19:56:00Z</dcterms:modified>
</cp:coreProperties>
</file>