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88" w:rsidRDefault="00E05188" w:rsidP="00FD3EA8">
      <w:pPr>
        <w:pStyle w:val="BodyText2"/>
        <w:jc w:val="both"/>
      </w:pPr>
      <w:bookmarkStart w:id="0" w:name="_GoBack"/>
      <w:bookmarkEnd w:id="0"/>
      <w:r>
        <w:t>19.01</w:t>
      </w:r>
      <w:r w:rsidR="00E7068A">
        <w:t>A</w:t>
      </w:r>
      <w:r>
        <w:tab/>
        <w:t>INTENTIO</w:t>
      </w:r>
      <w:r w:rsidR="00C74EBD">
        <w:t xml:space="preserve">NAL INTERFERENCE WITH CONTRACT – </w:t>
      </w:r>
      <w:r>
        <w:t>ELEMENTS</w:t>
      </w:r>
    </w:p>
    <w:p w:rsidR="00E05188" w:rsidRDefault="00E05188">
      <w:pPr>
        <w:widowControl w:val="0"/>
        <w:spacing w:line="480" w:lineRule="atLeast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E05188" w:rsidRDefault="007E7039">
      <w:pPr>
        <w:pStyle w:val="BodyTex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</w:tabs>
      </w:pPr>
      <w:r>
        <w:t>T</w:t>
      </w:r>
      <w:r w:rsidR="00E05188">
        <w:t xml:space="preserve">he plaintiff claims that </w:t>
      </w:r>
      <w:r>
        <w:t xml:space="preserve">[he][she] was harmed because </w:t>
      </w:r>
      <w:r w:rsidR="00E05188">
        <w:t xml:space="preserve">the defendant intentionally interfered with a </w:t>
      </w:r>
      <w:r w:rsidR="00593B36">
        <w:t>contract</w:t>
      </w:r>
      <w:r w:rsidR="001123B0">
        <w:t xml:space="preserve"> between the plaintiff and [insert name of third party]</w:t>
      </w:r>
      <w:r w:rsidR="00E05188">
        <w:t xml:space="preserve">.  </w:t>
      </w:r>
      <w:r w:rsidR="00865BA1">
        <w:t>T</w:t>
      </w:r>
      <w:r w:rsidR="00E05188">
        <w:t xml:space="preserve">o </w:t>
      </w:r>
      <w:r w:rsidR="00865BA1">
        <w:t>win</w:t>
      </w:r>
      <w:r w:rsidR="00E05188">
        <w:t xml:space="preserve"> on this claim, </w:t>
      </w:r>
      <w:r w:rsidR="00865BA1">
        <w:t>the plaintiff must prove it is more likely true than not true that</w:t>
      </w:r>
      <w:r w:rsidR="00E05188">
        <w:t>:</w:t>
      </w:r>
    </w:p>
    <w:p w:rsidR="00422572" w:rsidRDefault="00422572">
      <w:pPr>
        <w:pStyle w:val="BodyTex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</w:tabs>
      </w:pPr>
    </w:p>
    <w:p w:rsidR="00E05188" w:rsidRDefault="00A90E8C">
      <w:pPr>
        <w:widowControl w:val="0"/>
        <w:spacing w:line="480" w:lineRule="atLeast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(1)</w:t>
      </w:r>
      <w:r w:rsidR="00E05188">
        <w:rPr>
          <w:rFonts w:ascii="Bookman Old Style" w:hAnsi="Bookman Old Style" w:cs="Bookman Old Style"/>
          <w:snapToGrid w:val="0"/>
          <w:sz w:val="26"/>
          <w:szCs w:val="26"/>
        </w:rPr>
        <w:tab/>
        <w:t xml:space="preserve">the plaintiff had a </w:t>
      </w:r>
      <w:r w:rsidR="005C340D">
        <w:rPr>
          <w:rFonts w:ascii="Bookman Old Style" w:hAnsi="Bookman Old Style" w:cs="Bookman Old Style"/>
          <w:snapToGrid w:val="0"/>
          <w:sz w:val="26"/>
          <w:szCs w:val="26"/>
        </w:rPr>
        <w:t>contract</w:t>
      </w:r>
      <w:r w:rsidR="001123B0">
        <w:rPr>
          <w:rFonts w:ascii="Bookman Old Style" w:hAnsi="Bookman Old Style" w:cs="Bookman Old Style"/>
          <w:snapToGrid w:val="0"/>
          <w:sz w:val="26"/>
          <w:szCs w:val="26"/>
        </w:rPr>
        <w:t xml:space="preserve"> with [insert name of third party]</w:t>
      </w:r>
      <w:r w:rsidR="00E05188">
        <w:rPr>
          <w:rFonts w:ascii="Bookman Old Style" w:hAnsi="Bookman Old Style" w:cs="Bookman Old Style"/>
          <w:snapToGrid w:val="0"/>
          <w:sz w:val="26"/>
          <w:szCs w:val="26"/>
        </w:rPr>
        <w:t>;</w:t>
      </w:r>
    </w:p>
    <w:p w:rsidR="007B7A6F" w:rsidRDefault="007B7A6F">
      <w:pPr>
        <w:widowControl w:val="0"/>
        <w:spacing w:line="480" w:lineRule="atLeast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E05188" w:rsidRDefault="00A90E8C">
      <w:pPr>
        <w:widowControl w:val="0"/>
        <w:spacing w:line="480" w:lineRule="atLeast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(2)</w:t>
      </w:r>
      <w:r w:rsidR="00E05188">
        <w:rPr>
          <w:rFonts w:ascii="Bookman Old Style" w:hAnsi="Bookman Old Style" w:cs="Bookman Old Style"/>
          <w:snapToGrid w:val="0"/>
          <w:sz w:val="26"/>
          <w:szCs w:val="26"/>
        </w:rPr>
        <w:tab/>
        <w:t xml:space="preserve">the defendant knew about the </w:t>
      </w:r>
      <w:r w:rsidR="00865BA1">
        <w:rPr>
          <w:rFonts w:ascii="Bookman Old Style" w:hAnsi="Bookman Old Style" w:cs="Bookman Old Style"/>
          <w:snapToGrid w:val="0"/>
          <w:sz w:val="26"/>
          <w:szCs w:val="26"/>
        </w:rPr>
        <w:t>contract</w:t>
      </w:r>
      <w:r w:rsidR="00E05188">
        <w:rPr>
          <w:rFonts w:ascii="Bookman Old Style" w:hAnsi="Bookman Old Style" w:cs="Bookman Old Style"/>
          <w:snapToGrid w:val="0"/>
          <w:sz w:val="26"/>
          <w:szCs w:val="26"/>
        </w:rPr>
        <w:t>;</w:t>
      </w:r>
    </w:p>
    <w:p w:rsidR="007B7A6F" w:rsidRDefault="007B7A6F">
      <w:pPr>
        <w:widowControl w:val="0"/>
        <w:spacing w:line="480" w:lineRule="atLeast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E05188" w:rsidRDefault="00A90E8C">
      <w:pPr>
        <w:widowControl w:val="0"/>
        <w:spacing w:line="480" w:lineRule="atLeast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(3)</w:t>
      </w:r>
      <w:r w:rsidR="00E05188">
        <w:rPr>
          <w:rFonts w:ascii="Bookman Old Style" w:hAnsi="Bookman Old Style" w:cs="Bookman Old Style"/>
          <w:snapToGrid w:val="0"/>
          <w:sz w:val="26"/>
          <w:szCs w:val="26"/>
        </w:rPr>
        <w:tab/>
        <w:t xml:space="preserve">the defendant intended to </w:t>
      </w:r>
      <w:r w:rsidR="001123B0">
        <w:rPr>
          <w:rFonts w:ascii="Bookman Old Style" w:hAnsi="Bookman Old Style" w:cs="Bookman Old Style"/>
          <w:snapToGrid w:val="0"/>
          <w:sz w:val="26"/>
          <w:szCs w:val="26"/>
        </w:rPr>
        <w:t>induce [insert name of third party]</w:t>
      </w:r>
      <w:r w:rsidR="00F30874">
        <w:rPr>
          <w:rFonts w:ascii="Bookman Old Style" w:hAnsi="Bookman Old Style" w:cs="Bookman Old Style"/>
          <w:snapToGrid w:val="0"/>
          <w:sz w:val="26"/>
          <w:szCs w:val="26"/>
        </w:rPr>
        <w:t xml:space="preserve"> to breach</w:t>
      </w:r>
      <w:r w:rsidR="00E05188">
        <w:rPr>
          <w:rFonts w:ascii="Bookman Old Style" w:hAnsi="Bookman Old Style" w:cs="Bookman Old Style"/>
          <w:snapToGrid w:val="0"/>
          <w:sz w:val="26"/>
          <w:szCs w:val="26"/>
        </w:rPr>
        <w:t xml:space="preserve"> the </w:t>
      </w:r>
      <w:r w:rsidR="00865BA1">
        <w:rPr>
          <w:rFonts w:ascii="Bookman Old Style" w:hAnsi="Bookman Old Style" w:cs="Bookman Old Style"/>
          <w:snapToGrid w:val="0"/>
          <w:sz w:val="26"/>
          <w:szCs w:val="26"/>
        </w:rPr>
        <w:t>contract</w:t>
      </w:r>
      <w:r w:rsidR="00E05188">
        <w:rPr>
          <w:rFonts w:ascii="Bookman Old Style" w:hAnsi="Bookman Old Style" w:cs="Bookman Old Style"/>
          <w:snapToGrid w:val="0"/>
          <w:sz w:val="26"/>
          <w:szCs w:val="26"/>
        </w:rPr>
        <w:t>;</w:t>
      </w:r>
      <w:r w:rsidR="00FA189A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031B2D">
        <w:rPr>
          <w:rFonts w:ascii="Bookman Old Style" w:hAnsi="Bookman Old Style" w:cs="Bookman Old Style"/>
          <w:snapToGrid w:val="0"/>
          <w:sz w:val="26"/>
          <w:szCs w:val="26"/>
        </w:rPr>
        <w:t xml:space="preserve">a breach of contract occurs when a person fails </w:t>
      </w:r>
      <w:r w:rsidR="009C3214">
        <w:rPr>
          <w:rFonts w:ascii="Bookman Old Style" w:hAnsi="Bookman Old Style" w:cs="Bookman Old Style"/>
          <w:snapToGrid w:val="0"/>
          <w:sz w:val="26"/>
          <w:szCs w:val="26"/>
        </w:rPr>
        <w:t xml:space="preserve">without excuse </w:t>
      </w:r>
      <w:r w:rsidR="00031B2D">
        <w:rPr>
          <w:rFonts w:ascii="Bookman Old Style" w:hAnsi="Bookman Old Style" w:cs="Bookman Old Style"/>
          <w:snapToGrid w:val="0"/>
          <w:sz w:val="26"/>
          <w:szCs w:val="26"/>
        </w:rPr>
        <w:t xml:space="preserve">to do </w:t>
      </w:r>
      <w:r w:rsidR="009C3214">
        <w:rPr>
          <w:rFonts w:ascii="Bookman Old Style" w:hAnsi="Bookman Old Style" w:cs="Bookman Old Style"/>
          <w:snapToGrid w:val="0"/>
          <w:sz w:val="26"/>
          <w:szCs w:val="26"/>
        </w:rPr>
        <w:t xml:space="preserve">what </w:t>
      </w:r>
      <w:r w:rsidR="00031B2D">
        <w:rPr>
          <w:rFonts w:ascii="Bookman Old Style" w:hAnsi="Bookman Old Style" w:cs="Bookman Old Style"/>
          <w:snapToGrid w:val="0"/>
          <w:sz w:val="26"/>
          <w:szCs w:val="26"/>
        </w:rPr>
        <w:t>[he][she] promised to do in the contract;</w:t>
      </w:r>
    </w:p>
    <w:p w:rsidR="007B7A6F" w:rsidRDefault="007B7A6F">
      <w:pPr>
        <w:widowControl w:val="0"/>
        <w:spacing w:line="480" w:lineRule="atLeast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E05188" w:rsidRDefault="00A90E8C">
      <w:pPr>
        <w:widowControl w:val="0"/>
        <w:spacing w:line="480" w:lineRule="atLeast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(4)</w:t>
      </w:r>
      <w:r w:rsidR="001123B0">
        <w:rPr>
          <w:rFonts w:ascii="Bookman Old Style" w:hAnsi="Bookman Old Style" w:cs="Bookman Old Style"/>
          <w:snapToGrid w:val="0"/>
          <w:sz w:val="26"/>
          <w:szCs w:val="26"/>
        </w:rPr>
        <w:tab/>
        <w:t>[insert name of third party]</w:t>
      </w:r>
      <w:r w:rsidR="00F30874">
        <w:rPr>
          <w:rFonts w:ascii="Bookman Old Style" w:hAnsi="Bookman Old Style" w:cs="Bookman Old Style"/>
          <w:snapToGrid w:val="0"/>
          <w:sz w:val="26"/>
          <w:szCs w:val="26"/>
        </w:rPr>
        <w:t xml:space="preserve"> breached the contract</w:t>
      </w:r>
      <w:r w:rsidR="00E05188">
        <w:rPr>
          <w:rFonts w:ascii="Bookman Old Style" w:hAnsi="Bookman Old Style" w:cs="Bookman Old Style"/>
          <w:snapToGrid w:val="0"/>
          <w:sz w:val="26"/>
          <w:szCs w:val="26"/>
        </w:rPr>
        <w:t>;</w:t>
      </w:r>
    </w:p>
    <w:p w:rsidR="007B7A6F" w:rsidRDefault="007B7A6F">
      <w:pPr>
        <w:widowControl w:val="0"/>
        <w:spacing w:line="480" w:lineRule="atLeast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E05188" w:rsidRDefault="00A90E8C">
      <w:pPr>
        <w:pStyle w:val="BodyTextIndent2"/>
      </w:pPr>
      <w:r>
        <w:t>(5)</w:t>
      </w:r>
      <w:r w:rsidR="00E05188">
        <w:tab/>
      </w:r>
      <w:r w:rsidR="00F30874">
        <w:t xml:space="preserve">the defendant’s conduct caused </w:t>
      </w:r>
      <w:r w:rsidR="00E05188">
        <w:t xml:space="preserve">the </w:t>
      </w:r>
      <w:r w:rsidR="00E05188" w:rsidRPr="00D616DD">
        <w:t>breach</w:t>
      </w:r>
      <w:r w:rsidR="00E05188">
        <w:t xml:space="preserve">; </w:t>
      </w:r>
    </w:p>
    <w:p w:rsidR="00E05188" w:rsidRDefault="00E05188">
      <w:pPr>
        <w:widowControl w:val="0"/>
        <w:spacing w:line="480" w:lineRule="atLeast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7B7A6F" w:rsidRDefault="00A90E8C">
      <w:pPr>
        <w:widowControl w:val="0"/>
        <w:spacing w:line="480" w:lineRule="atLeast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(6)</w:t>
      </w:r>
      <w:r w:rsidR="00E05188">
        <w:rPr>
          <w:rFonts w:ascii="Bookman Old Style" w:hAnsi="Bookman Old Style" w:cs="Bookman Old Style"/>
          <w:snapToGrid w:val="0"/>
          <w:sz w:val="26"/>
          <w:szCs w:val="26"/>
        </w:rPr>
        <w:tab/>
        <w:t xml:space="preserve">the plaintiff </w:t>
      </w:r>
      <w:r w:rsidR="009C3214">
        <w:rPr>
          <w:rFonts w:ascii="Bookman Old Style" w:hAnsi="Bookman Old Style" w:cs="Bookman Old Style"/>
          <w:snapToGrid w:val="0"/>
          <w:sz w:val="26"/>
          <w:szCs w:val="26"/>
        </w:rPr>
        <w:t>was</w:t>
      </w:r>
      <w:r w:rsidR="00E05188">
        <w:rPr>
          <w:rFonts w:ascii="Bookman Old Style" w:hAnsi="Bookman Old Style" w:cs="Bookman Old Style"/>
          <w:snapToGrid w:val="0"/>
          <w:sz w:val="26"/>
          <w:szCs w:val="26"/>
        </w:rPr>
        <w:t xml:space="preserve"> damage</w:t>
      </w:r>
      <w:r w:rsidR="009C3214">
        <w:rPr>
          <w:rFonts w:ascii="Bookman Old Style" w:hAnsi="Bookman Old Style" w:cs="Bookman Old Style"/>
          <w:snapToGrid w:val="0"/>
          <w:sz w:val="26"/>
          <w:szCs w:val="26"/>
        </w:rPr>
        <w:t>d</w:t>
      </w:r>
      <w:r w:rsidR="00E05188">
        <w:rPr>
          <w:rFonts w:ascii="Bookman Old Style" w:hAnsi="Bookman Old Style" w:cs="Bookman Old Style"/>
          <w:snapToGrid w:val="0"/>
          <w:sz w:val="26"/>
          <w:szCs w:val="26"/>
        </w:rPr>
        <w:t xml:space="preserve"> as a result of the </w:t>
      </w:r>
      <w:r w:rsidR="00E05188" w:rsidRPr="00D616DD">
        <w:rPr>
          <w:rFonts w:ascii="Bookman Old Style" w:hAnsi="Bookman Old Style" w:cs="Bookman Old Style"/>
          <w:snapToGrid w:val="0"/>
          <w:sz w:val="26"/>
          <w:szCs w:val="26"/>
        </w:rPr>
        <w:t>breach</w:t>
      </w:r>
      <w:r w:rsidR="007B7A6F">
        <w:rPr>
          <w:rFonts w:ascii="Bookman Old Style" w:hAnsi="Bookman Old Style" w:cs="Bookman Old Style"/>
          <w:snapToGrid w:val="0"/>
          <w:sz w:val="26"/>
          <w:szCs w:val="26"/>
        </w:rPr>
        <w:t>; and</w:t>
      </w:r>
    </w:p>
    <w:p w:rsidR="007B7A6F" w:rsidRDefault="007B7A6F">
      <w:pPr>
        <w:widowControl w:val="0"/>
        <w:spacing w:line="480" w:lineRule="atLeast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E05188" w:rsidRDefault="00A90E8C">
      <w:pPr>
        <w:widowControl w:val="0"/>
        <w:spacing w:line="480" w:lineRule="atLeast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(7)</w:t>
      </w:r>
      <w:r w:rsidR="007B7A6F">
        <w:rPr>
          <w:rFonts w:ascii="Bookman Old Style" w:hAnsi="Bookman Old Style" w:cs="Bookman Old Style"/>
          <w:snapToGrid w:val="0"/>
          <w:sz w:val="26"/>
          <w:szCs w:val="26"/>
        </w:rPr>
        <w:tab/>
      </w:r>
      <w:r w:rsidR="00727BF2">
        <w:rPr>
          <w:rFonts w:ascii="Bookman Old Style" w:hAnsi="Bookman Old Style" w:cs="Bookman Old Style"/>
          <w:snapToGrid w:val="0"/>
          <w:sz w:val="26"/>
          <w:szCs w:val="26"/>
        </w:rPr>
        <w:t xml:space="preserve">the </w:t>
      </w:r>
      <w:r w:rsidR="007B7A6F">
        <w:rPr>
          <w:rFonts w:ascii="Bookman Old Style" w:hAnsi="Bookman Old Style" w:cs="Bookman Old Style"/>
          <w:snapToGrid w:val="0"/>
          <w:sz w:val="26"/>
          <w:szCs w:val="26"/>
        </w:rPr>
        <w:t>defendant’s conduct was not privileged or justified</w:t>
      </w:r>
      <w:r w:rsidR="00E05188">
        <w:rPr>
          <w:rFonts w:ascii="Bookman Old Style" w:hAnsi="Bookman Old Style" w:cs="Bookman Old Style"/>
          <w:snapToGrid w:val="0"/>
          <w:sz w:val="26"/>
          <w:szCs w:val="26"/>
        </w:rPr>
        <w:t>.</w:t>
      </w:r>
    </w:p>
    <w:p w:rsidR="00E05188" w:rsidRDefault="00E05188">
      <w:pPr>
        <w:widowControl w:val="0"/>
        <w:spacing w:line="480" w:lineRule="atLeast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B119E2" w:rsidRDefault="00593B36" w:rsidP="00B119E2">
      <w:pPr>
        <w:pStyle w:val="BodyTextIndent2"/>
        <w:tabs>
          <w:tab w:val="left" w:pos="810"/>
        </w:tabs>
        <w:ind w:left="0" w:firstLine="0"/>
      </w:pPr>
      <w:r>
        <w:t xml:space="preserve">If the plaintiff proves all </w:t>
      </w:r>
      <w:r w:rsidR="007B7A6F">
        <w:t>seven</w:t>
      </w:r>
      <w:r>
        <w:t xml:space="preserve"> elements, you must find for the plaintiff on this claim</w:t>
      </w:r>
      <w:r w:rsidR="00B119E2">
        <w:t xml:space="preserve">.  But if the plaintiff fails to prove any one of the elements, </w:t>
      </w:r>
      <w:r w:rsidR="00B119E2">
        <w:lastRenderedPageBreak/>
        <w:t>you must find for the defendant on this claim.</w:t>
      </w:r>
    </w:p>
    <w:p w:rsidR="007E6F79" w:rsidRDefault="007E6F79" w:rsidP="00FD3EA8">
      <w:pPr>
        <w:pStyle w:val="Heading2"/>
        <w:spacing w:line="360" w:lineRule="auto"/>
      </w:pPr>
    </w:p>
    <w:p w:rsidR="00E05188" w:rsidRDefault="00E05188">
      <w:pPr>
        <w:pStyle w:val="Heading2"/>
      </w:pPr>
      <w:r>
        <w:t>Use Note</w:t>
      </w:r>
    </w:p>
    <w:p w:rsidR="00E05188" w:rsidRDefault="00E05188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E05188" w:rsidRDefault="00E05188" w:rsidP="00D96C52">
      <w:pPr>
        <w:pStyle w:val="BodyText2"/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This instruction should be given in </w:t>
      </w:r>
      <w:r w:rsidR="00190808">
        <w:rPr>
          <w:b w:val="0"/>
          <w:bCs w:val="0"/>
        </w:rPr>
        <w:t xml:space="preserve">any </w:t>
      </w:r>
      <w:r>
        <w:rPr>
          <w:b w:val="0"/>
          <w:bCs w:val="0"/>
        </w:rPr>
        <w:t>case</w:t>
      </w:r>
      <w:r w:rsidR="00190808">
        <w:rPr>
          <w:b w:val="0"/>
          <w:bCs w:val="0"/>
        </w:rPr>
        <w:t xml:space="preserve"> that includes a claim</w:t>
      </w:r>
      <w:r>
        <w:rPr>
          <w:b w:val="0"/>
          <w:bCs w:val="0"/>
        </w:rPr>
        <w:t xml:space="preserve"> of intentional interference with contract. </w:t>
      </w:r>
      <w:r w:rsidR="00FD3EA8">
        <w:rPr>
          <w:b w:val="0"/>
          <w:bCs w:val="0"/>
        </w:rPr>
        <w:t xml:space="preserve"> </w:t>
      </w:r>
      <w:r>
        <w:rPr>
          <w:b w:val="0"/>
          <w:bCs w:val="0"/>
        </w:rPr>
        <w:t>I</w:t>
      </w:r>
      <w:r w:rsidR="00023236">
        <w:rPr>
          <w:b w:val="0"/>
          <w:bCs w:val="0"/>
        </w:rPr>
        <w:t>f</w:t>
      </w:r>
      <w:r>
        <w:rPr>
          <w:b w:val="0"/>
          <w:bCs w:val="0"/>
        </w:rPr>
        <w:t xml:space="preserve"> the existence of </w:t>
      </w:r>
      <w:r w:rsidR="00023236">
        <w:rPr>
          <w:b w:val="0"/>
          <w:bCs w:val="0"/>
        </w:rPr>
        <w:t>a</w:t>
      </w:r>
      <w:r>
        <w:rPr>
          <w:b w:val="0"/>
          <w:bCs w:val="0"/>
        </w:rPr>
        <w:t xml:space="preserve"> contract between the plaintiff and the third person is not contested</w:t>
      </w:r>
      <w:r w:rsidR="00023236">
        <w:rPr>
          <w:b w:val="0"/>
          <w:bCs w:val="0"/>
        </w:rPr>
        <w:t xml:space="preserve">, </w:t>
      </w:r>
      <w:r w:rsidR="009C3214">
        <w:rPr>
          <w:b w:val="0"/>
          <w:bCs w:val="0"/>
        </w:rPr>
        <w:t xml:space="preserve">element </w:t>
      </w:r>
      <w:r w:rsidR="009B0473">
        <w:rPr>
          <w:b w:val="0"/>
          <w:bCs w:val="0"/>
        </w:rPr>
        <w:t>one</w:t>
      </w:r>
      <w:r w:rsidR="009C3214">
        <w:rPr>
          <w:b w:val="0"/>
          <w:bCs w:val="0"/>
        </w:rPr>
        <w:t xml:space="preserve"> can be eliminated</w:t>
      </w:r>
      <w:r>
        <w:rPr>
          <w:b w:val="0"/>
          <w:bCs w:val="0"/>
        </w:rPr>
        <w:t>.</w:t>
      </w:r>
    </w:p>
    <w:p w:rsidR="00555B2F" w:rsidRDefault="00555B2F">
      <w:pPr>
        <w:pStyle w:val="BodyText2"/>
        <w:ind w:left="0" w:firstLine="0"/>
        <w:rPr>
          <w:b w:val="0"/>
          <w:bCs w:val="0"/>
        </w:rPr>
      </w:pPr>
    </w:p>
    <w:p w:rsidR="00555B2F" w:rsidRPr="005B0539" w:rsidRDefault="00555B2F" w:rsidP="00D96C52">
      <w:pPr>
        <w:pStyle w:val="BodyText2"/>
        <w:ind w:left="0" w:firstLine="0"/>
        <w:jc w:val="both"/>
        <w:rPr>
          <w:b w:val="0"/>
          <w:bCs w:val="0"/>
        </w:rPr>
      </w:pPr>
      <w:r w:rsidRPr="00C40618">
        <w:rPr>
          <w:b w:val="0"/>
          <w:bCs w:val="0"/>
        </w:rPr>
        <w:t>Instruction</w:t>
      </w:r>
      <w:r w:rsidR="001A6CAB">
        <w:rPr>
          <w:b w:val="0"/>
          <w:bCs w:val="0"/>
        </w:rPr>
        <w:t>s</w:t>
      </w:r>
      <w:r w:rsidRPr="00C40618">
        <w:rPr>
          <w:b w:val="0"/>
          <w:bCs w:val="0"/>
        </w:rPr>
        <w:t xml:space="preserve"> </w:t>
      </w:r>
      <w:r w:rsidR="00AF73A5" w:rsidRPr="005529CD">
        <w:rPr>
          <w:b w:val="0"/>
          <w:bCs w:val="0"/>
        </w:rPr>
        <w:t>19.02</w:t>
      </w:r>
      <w:r w:rsidRPr="008105AD">
        <w:rPr>
          <w:b w:val="0"/>
          <w:bCs w:val="0"/>
        </w:rPr>
        <w:t xml:space="preserve"> </w:t>
      </w:r>
      <w:r w:rsidRPr="005B0539">
        <w:rPr>
          <w:b w:val="0"/>
          <w:bCs w:val="0"/>
        </w:rPr>
        <w:t xml:space="preserve">on intent </w:t>
      </w:r>
      <w:r w:rsidR="001A6CAB">
        <w:rPr>
          <w:b w:val="0"/>
          <w:bCs w:val="0"/>
        </w:rPr>
        <w:t xml:space="preserve">and </w:t>
      </w:r>
      <w:r w:rsidR="00AF73A5" w:rsidRPr="005529CD">
        <w:rPr>
          <w:b w:val="0"/>
          <w:bCs w:val="0"/>
        </w:rPr>
        <w:t>19.03</w:t>
      </w:r>
      <w:r w:rsidRPr="008105AD">
        <w:rPr>
          <w:b w:val="0"/>
          <w:bCs w:val="0"/>
        </w:rPr>
        <w:t xml:space="preserve"> o</w:t>
      </w:r>
      <w:r w:rsidR="001A6CAB">
        <w:rPr>
          <w:b w:val="0"/>
          <w:bCs w:val="0"/>
        </w:rPr>
        <w:t>n</w:t>
      </w:r>
      <w:r w:rsidRPr="008105AD">
        <w:rPr>
          <w:b w:val="0"/>
          <w:bCs w:val="0"/>
        </w:rPr>
        <w:t xml:space="preserve"> justification</w:t>
      </w:r>
      <w:r w:rsidR="0044597F" w:rsidRPr="005529CD">
        <w:rPr>
          <w:b w:val="0"/>
          <w:bCs w:val="0"/>
        </w:rPr>
        <w:t xml:space="preserve"> </w:t>
      </w:r>
      <w:r w:rsidR="001A6CAB">
        <w:rPr>
          <w:b w:val="0"/>
          <w:bCs w:val="0"/>
        </w:rPr>
        <w:t>should be given with Instruction 19.01</w:t>
      </w:r>
      <w:r w:rsidR="00E7068A">
        <w:rPr>
          <w:b w:val="0"/>
          <w:bCs w:val="0"/>
        </w:rPr>
        <w:t>A</w:t>
      </w:r>
      <w:r w:rsidRPr="008105AD">
        <w:rPr>
          <w:b w:val="0"/>
          <w:bCs w:val="0"/>
        </w:rPr>
        <w:t xml:space="preserve">.  </w:t>
      </w:r>
      <w:r w:rsidRPr="005B0539">
        <w:rPr>
          <w:b w:val="0"/>
          <w:bCs w:val="0"/>
        </w:rPr>
        <w:t xml:space="preserve"> </w:t>
      </w:r>
    </w:p>
    <w:p w:rsidR="00DF4CEC" w:rsidRPr="005529CD" w:rsidRDefault="00DF4CEC" w:rsidP="00DF4CEC">
      <w:pPr>
        <w:widowControl w:val="0"/>
        <w:adjustRightInd w:val="0"/>
        <w:jc w:val="both"/>
        <w:rPr>
          <w:rFonts w:ascii="Bookman Old Style" w:hAnsi="Bookman Old Style"/>
          <w:i/>
          <w:color w:val="000000"/>
          <w:sz w:val="26"/>
          <w:szCs w:val="26"/>
          <w:highlight w:val="yellow"/>
        </w:rPr>
      </w:pPr>
    </w:p>
    <w:p w:rsidR="00DF4CEC" w:rsidRPr="005529CD" w:rsidRDefault="005B57D0" w:rsidP="00DF4CEC">
      <w:pPr>
        <w:widowControl w:val="0"/>
        <w:adjustRightInd w:val="0"/>
        <w:jc w:val="both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The following </w:t>
      </w:r>
      <w:r w:rsidR="001A6CAB">
        <w:rPr>
          <w:rFonts w:ascii="Bookman Old Style" w:hAnsi="Bookman Old Style"/>
          <w:color w:val="000000"/>
          <w:sz w:val="26"/>
          <w:szCs w:val="26"/>
        </w:rPr>
        <w:t xml:space="preserve">contract </w:t>
      </w:r>
      <w:r>
        <w:rPr>
          <w:rFonts w:ascii="Bookman Old Style" w:hAnsi="Bookman Old Style"/>
          <w:color w:val="000000"/>
          <w:sz w:val="26"/>
          <w:szCs w:val="26"/>
        </w:rPr>
        <w:t xml:space="preserve">instructions may be helpful:  </w:t>
      </w:r>
      <w:r w:rsidRPr="00997080">
        <w:rPr>
          <w:rFonts w:ascii="Bookman Old Style" w:hAnsi="Bookman Old Style"/>
          <w:color w:val="000000"/>
          <w:sz w:val="26"/>
          <w:szCs w:val="26"/>
        </w:rPr>
        <w:t xml:space="preserve">Instruction 24.01A </w:t>
      </w:r>
      <w:r w:rsidR="007E6F79">
        <w:rPr>
          <w:rFonts w:ascii="Bookman Old Style" w:hAnsi="Bookman Old Style"/>
          <w:color w:val="000000"/>
          <w:sz w:val="26"/>
          <w:szCs w:val="26"/>
        </w:rPr>
        <w:t>– existence of contract disputed</w:t>
      </w:r>
      <w:r w:rsidR="00DF4CEC" w:rsidRPr="008105AD">
        <w:rPr>
          <w:rFonts w:ascii="Bookman Old Style" w:hAnsi="Bookman Old Style"/>
          <w:color w:val="000000"/>
          <w:sz w:val="26"/>
          <w:szCs w:val="26"/>
        </w:rPr>
        <w:t xml:space="preserve">, </w:t>
      </w:r>
      <w:r w:rsidRPr="00997080">
        <w:rPr>
          <w:rFonts w:ascii="Bookman Old Style" w:hAnsi="Bookman Old Style"/>
          <w:color w:val="000000"/>
          <w:sz w:val="26"/>
          <w:szCs w:val="26"/>
        </w:rPr>
        <w:t>Instruction 24.01C</w:t>
      </w:r>
      <w:r w:rsidR="007E6F79" w:rsidRPr="005529CD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7E6F79">
        <w:rPr>
          <w:rFonts w:ascii="Bookman Old Style" w:hAnsi="Bookman Old Style"/>
          <w:color w:val="000000"/>
          <w:sz w:val="26"/>
          <w:szCs w:val="26"/>
        </w:rPr>
        <w:t>–</w:t>
      </w:r>
      <w:r w:rsidR="007E6F79" w:rsidRPr="005529CD">
        <w:rPr>
          <w:rFonts w:ascii="Bookman Old Style" w:hAnsi="Bookman Old Style"/>
          <w:color w:val="000000"/>
          <w:sz w:val="26"/>
          <w:szCs w:val="26"/>
        </w:rPr>
        <w:t xml:space="preserve"> existence </w:t>
      </w:r>
      <w:r w:rsidR="007E6F79">
        <w:rPr>
          <w:rFonts w:ascii="Bookman Old Style" w:hAnsi="Bookman Old Style"/>
          <w:color w:val="000000"/>
          <w:sz w:val="26"/>
          <w:szCs w:val="26"/>
        </w:rPr>
        <w:t>of disputed terms</w:t>
      </w:r>
      <w:r>
        <w:rPr>
          <w:rFonts w:ascii="Bookman Old Style" w:hAnsi="Bookman Old Style"/>
          <w:color w:val="000000"/>
          <w:sz w:val="26"/>
          <w:szCs w:val="26"/>
        </w:rPr>
        <w:t xml:space="preserve">, and </w:t>
      </w:r>
      <w:r w:rsidR="0044597F" w:rsidRPr="005529CD">
        <w:rPr>
          <w:rFonts w:ascii="Bookman Old Style" w:hAnsi="Bookman Old Style"/>
          <w:color w:val="000000"/>
          <w:sz w:val="26"/>
          <w:szCs w:val="26"/>
        </w:rPr>
        <w:t>Instruction</w:t>
      </w:r>
      <w:r w:rsidR="00906F61" w:rsidRPr="005529CD">
        <w:rPr>
          <w:rFonts w:ascii="Bookman Old Style" w:hAnsi="Bookman Old Style"/>
          <w:color w:val="000000"/>
          <w:sz w:val="26"/>
          <w:szCs w:val="26"/>
        </w:rPr>
        <w:t xml:space="preserve"> 24.0</w:t>
      </w:r>
      <w:r>
        <w:rPr>
          <w:rFonts w:ascii="Bookman Old Style" w:hAnsi="Bookman Old Style"/>
          <w:color w:val="000000"/>
          <w:sz w:val="26"/>
          <w:szCs w:val="26"/>
        </w:rPr>
        <w:t xml:space="preserve">3 </w:t>
      </w:r>
      <w:r w:rsidR="007E6F79">
        <w:rPr>
          <w:rFonts w:ascii="Bookman Old Style" w:hAnsi="Bookman Old Style"/>
          <w:color w:val="000000"/>
          <w:sz w:val="26"/>
          <w:szCs w:val="26"/>
        </w:rPr>
        <w:t xml:space="preserve">- </w:t>
      </w:r>
      <w:r w:rsidRPr="00997080">
        <w:rPr>
          <w:rFonts w:ascii="Bookman Old Style" w:hAnsi="Bookman Old Style"/>
          <w:color w:val="000000"/>
          <w:sz w:val="26"/>
          <w:szCs w:val="26"/>
        </w:rPr>
        <w:t>breach of contract</w:t>
      </w:r>
      <w:r w:rsidR="00DF4CEC" w:rsidRPr="005B0539">
        <w:rPr>
          <w:rFonts w:ascii="Bookman Old Style" w:hAnsi="Bookman Old Style"/>
          <w:color w:val="000000"/>
          <w:sz w:val="26"/>
          <w:szCs w:val="26"/>
        </w:rPr>
        <w:t>.</w:t>
      </w:r>
      <w:r w:rsidR="00906F61" w:rsidRPr="005529CD">
        <w:rPr>
          <w:rFonts w:ascii="Bookman Old Style" w:hAnsi="Bookman Old Style"/>
          <w:color w:val="000000"/>
          <w:sz w:val="26"/>
          <w:szCs w:val="26"/>
        </w:rPr>
        <w:t xml:space="preserve">  </w:t>
      </w:r>
    </w:p>
    <w:p w:rsidR="00E05188" w:rsidRDefault="00E05188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E05188" w:rsidRDefault="00E05188">
      <w:pPr>
        <w:pStyle w:val="Heading2"/>
        <w:tabs>
          <w:tab w:val="clear" w:pos="1237"/>
          <w:tab w:val="right" w:pos="1089"/>
        </w:tabs>
      </w:pPr>
      <w:r>
        <w:t>Comment</w:t>
      </w:r>
    </w:p>
    <w:p w:rsidR="00E05188" w:rsidRDefault="00E05188">
      <w:pPr>
        <w:tabs>
          <w:tab w:val="right" w:pos="1089"/>
        </w:tabs>
        <w:jc w:val="both"/>
        <w:rPr>
          <w:rFonts w:ascii="Bookman Old Style" w:hAnsi="Bookman Old Style" w:cs="Bookman Old Style"/>
          <w:sz w:val="26"/>
          <w:szCs w:val="26"/>
        </w:rPr>
      </w:pPr>
    </w:p>
    <w:p w:rsidR="00905206" w:rsidRDefault="0006112D" w:rsidP="00625AAE">
      <w:pPr>
        <w:widowControl w:val="0"/>
        <w:adjustRightInd w:val="0"/>
        <w:jc w:val="both"/>
        <w:rPr>
          <w:rFonts w:ascii="Bookman Old Style" w:hAnsi="Bookman Old Style"/>
          <w:color w:val="000000"/>
          <w:sz w:val="26"/>
          <w:szCs w:val="26"/>
        </w:rPr>
      </w:pPr>
      <w:r w:rsidRPr="0006112D">
        <w:rPr>
          <w:rFonts w:ascii="Bookman Old Style" w:hAnsi="Bookman Old Style" w:cs="Bookman Old Style"/>
          <w:sz w:val="26"/>
          <w:szCs w:val="26"/>
        </w:rPr>
        <w:t xml:space="preserve">The tort of intentional interference with contract promotes security and integrity in “contractual relations by protecting those relations from wrongful intermeddling by third parties.”  </w:t>
      </w:r>
      <w:r w:rsidRPr="00EB7540">
        <w:rPr>
          <w:rFonts w:ascii="Bookman Old Style" w:hAnsi="Bookman Old Style" w:cs="Bookman Old Style"/>
          <w:i/>
          <w:sz w:val="26"/>
          <w:szCs w:val="26"/>
        </w:rPr>
        <w:t xml:space="preserve">Ellis v. City of </w:t>
      </w:r>
      <w:smartTag w:uri="urn:schemas-microsoft-com:office:smarttags" w:element="City">
        <w:r w:rsidRPr="00EB7540">
          <w:rPr>
            <w:rFonts w:ascii="Bookman Old Style" w:hAnsi="Bookman Old Style" w:cs="Bookman Old Style"/>
            <w:i/>
            <w:sz w:val="26"/>
            <w:szCs w:val="26"/>
          </w:rPr>
          <w:t>Valdez</w:t>
        </w:r>
      </w:smartTag>
      <w:r w:rsidRPr="0006112D">
        <w:rPr>
          <w:rFonts w:ascii="Bookman Old Style" w:hAnsi="Bookman Old Style" w:cs="Bookman Old Style"/>
          <w:sz w:val="26"/>
          <w:szCs w:val="26"/>
        </w:rPr>
        <w:t>, 686 P.2d 700, 706-</w:t>
      </w:r>
      <w:r w:rsidR="00EB7540">
        <w:rPr>
          <w:rFonts w:ascii="Bookman Old Style" w:hAnsi="Bookman Old Style" w:cs="Bookman Old Style"/>
          <w:sz w:val="26"/>
          <w:szCs w:val="26"/>
        </w:rPr>
        <w:t>0</w:t>
      </w:r>
      <w:r w:rsidRPr="0006112D">
        <w:rPr>
          <w:rFonts w:ascii="Bookman Old Style" w:hAnsi="Bookman Old Style" w:cs="Bookman Old Style"/>
          <w:sz w:val="26"/>
          <w:szCs w:val="26"/>
        </w:rPr>
        <w:t>7 (</w:t>
      </w:r>
      <w:smartTag w:uri="urn:schemas-microsoft-com:office:smarttags" w:element="place">
        <w:smartTag w:uri="urn:schemas-microsoft-com:office:smarttags" w:element="State">
          <w:r w:rsidRPr="0006112D">
            <w:rPr>
              <w:rFonts w:ascii="Bookman Old Style" w:hAnsi="Bookman Old Style" w:cs="Bookman Old Style"/>
              <w:sz w:val="26"/>
              <w:szCs w:val="26"/>
            </w:rPr>
            <w:t>Alaska</w:t>
          </w:r>
        </w:smartTag>
      </w:smartTag>
      <w:r w:rsidRPr="0006112D">
        <w:rPr>
          <w:rFonts w:ascii="Bookman Old Style" w:hAnsi="Bookman Old Style" w:cs="Bookman Old Style"/>
          <w:sz w:val="26"/>
          <w:szCs w:val="26"/>
        </w:rPr>
        <w:t xml:space="preserve"> 1984).</w:t>
      </w:r>
      <w:r>
        <w:rPr>
          <w:rFonts w:ascii="Bookman Old Style" w:hAnsi="Bookman Old Style" w:cs="Bookman Old Style"/>
          <w:sz w:val="26"/>
          <w:szCs w:val="26"/>
        </w:rPr>
        <w:t xml:space="preserve">  </w:t>
      </w:r>
      <w:r w:rsidR="00563DC7">
        <w:rPr>
          <w:rFonts w:ascii="Bookman Old Style" w:hAnsi="Bookman Old Style" w:cs="Bookman Old Style"/>
          <w:sz w:val="26"/>
          <w:szCs w:val="26"/>
        </w:rPr>
        <w:t>I</w:t>
      </w:r>
      <w:r w:rsidR="00F30874">
        <w:rPr>
          <w:rFonts w:ascii="Bookman Old Style" w:hAnsi="Bookman Old Style" w:cs="Bookman Old Style"/>
          <w:sz w:val="26"/>
          <w:szCs w:val="26"/>
        </w:rPr>
        <w:t xml:space="preserve">nstruction </w:t>
      </w:r>
      <w:r w:rsidR="00563DC7">
        <w:rPr>
          <w:rFonts w:ascii="Bookman Old Style" w:hAnsi="Bookman Old Style" w:cs="Bookman Old Style"/>
          <w:sz w:val="26"/>
          <w:szCs w:val="26"/>
        </w:rPr>
        <w:t>19.01</w:t>
      </w:r>
      <w:r w:rsidR="00E7068A">
        <w:rPr>
          <w:rFonts w:ascii="Bookman Old Style" w:hAnsi="Bookman Old Style" w:cs="Bookman Old Style"/>
          <w:sz w:val="26"/>
          <w:szCs w:val="26"/>
        </w:rPr>
        <w:t>A</w:t>
      </w:r>
      <w:r w:rsidR="00563DC7">
        <w:rPr>
          <w:rFonts w:ascii="Bookman Old Style" w:hAnsi="Bookman Old Style" w:cs="Bookman Old Style"/>
          <w:sz w:val="26"/>
          <w:szCs w:val="26"/>
        </w:rPr>
        <w:t xml:space="preserve"> </w:t>
      </w:r>
      <w:r w:rsidR="00332B38">
        <w:rPr>
          <w:rFonts w:ascii="Bookman Old Style" w:hAnsi="Bookman Old Style" w:cs="Bookman Old Style"/>
          <w:sz w:val="26"/>
          <w:szCs w:val="26"/>
        </w:rPr>
        <w:t xml:space="preserve">sets forth </w:t>
      </w:r>
      <w:r w:rsidR="00F30874">
        <w:rPr>
          <w:rFonts w:ascii="Bookman Old Style" w:hAnsi="Bookman Old Style" w:cs="Bookman Old Style"/>
          <w:sz w:val="26"/>
          <w:szCs w:val="26"/>
        </w:rPr>
        <w:t>the elements of</w:t>
      </w:r>
      <w:r w:rsidR="00905206">
        <w:rPr>
          <w:rFonts w:ascii="Bookman Old Style" w:hAnsi="Bookman Old Style" w:cs="Bookman Old Style"/>
          <w:sz w:val="26"/>
          <w:szCs w:val="26"/>
        </w:rPr>
        <w:t xml:space="preserve"> </w:t>
      </w:r>
      <w:r w:rsidR="00447718">
        <w:rPr>
          <w:rFonts w:ascii="Bookman Old Style" w:hAnsi="Bookman Old Style" w:cs="Bookman Old Style"/>
          <w:sz w:val="26"/>
          <w:szCs w:val="26"/>
        </w:rPr>
        <w:t>a prima facie case</w:t>
      </w:r>
      <w:r w:rsidR="00386CE1" w:rsidRPr="00C40618">
        <w:rPr>
          <w:rFonts w:ascii="Bookman Old Style" w:hAnsi="Bookman Old Style"/>
          <w:color w:val="000000"/>
          <w:sz w:val="26"/>
          <w:szCs w:val="26"/>
        </w:rPr>
        <w:t>.</w:t>
      </w:r>
      <w:r w:rsidR="00905206" w:rsidRPr="008105AD">
        <w:rPr>
          <w:rFonts w:ascii="Bookman Old Style" w:hAnsi="Bookman Old Style" w:cs="Bookman Old Style"/>
          <w:sz w:val="26"/>
          <w:szCs w:val="26"/>
        </w:rPr>
        <w:t xml:space="preserve">  </w:t>
      </w:r>
      <w:r w:rsidR="00905206" w:rsidRPr="005B0539">
        <w:rPr>
          <w:rFonts w:ascii="Bookman Old Style" w:hAnsi="Bookman Old Style" w:cs="Bookman Old Style"/>
          <w:i/>
          <w:sz w:val="26"/>
          <w:szCs w:val="26"/>
        </w:rPr>
        <w:t>E.g.</w:t>
      </w:r>
      <w:r w:rsidR="00905206" w:rsidRPr="005B0539">
        <w:rPr>
          <w:rFonts w:ascii="Bookman Old Style" w:hAnsi="Bookman Old Style" w:cs="Bookman Old Style"/>
          <w:sz w:val="26"/>
          <w:szCs w:val="26"/>
        </w:rPr>
        <w:t xml:space="preserve">, </w:t>
      </w:r>
      <w:r w:rsidR="0044597F" w:rsidRPr="005529CD">
        <w:rPr>
          <w:rFonts w:ascii="Bookman Old Style" w:hAnsi="Bookman Old Style" w:cs="Bookman Old Style"/>
          <w:i/>
          <w:sz w:val="26"/>
          <w:szCs w:val="26"/>
        </w:rPr>
        <w:t>Kinzel v. Discovery Drilling Inc.</w:t>
      </w:r>
      <w:r w:rsidR="0044597F" w:rsidRPr="005529CD">
        <w:rPr>
          <w:rFonts w:ascii="Bookman Old Style" w:hAnsi="Bookman Old Style" w:cs="Bookman Old Style"/>
          <w:sz w:val="26"/>
          <w:szCs w:val="26"/>
        </w:rPr>
        <w:t>, 93 P</w:t>
      </w:r>
      <w:r w:rsidR="00DA18AC" w:rsidRPr="005529CD">
        <w:rPr>
          <w:rFonts w:ascii="Bookman Old Style" w:hAnsi="Bookman Old Style" w:cs="Bookman Old Style"/>
          <w:sz w:val="26"/>
          <w:szCs w:val="26"/>
        </w:rPr>
        <w:t>.</w:t>
      </w:r>
      <w:r w:rsidR="0044597F" w:rsidRPr="005529CD">
        <w:rPr>
          <w:rFonts w:ascii="Bookman Old Style" w:hAnsi="Bookman Old Style" w:cs="Bookman Old Style"/>
          <w:sz w:val="26"/>
          <w:szCs w:val="26"/>
        </w:rPr>
        <w:t xml:space="preserve">3d 427, 443 (Alaska 2004); </w:t>
      </w:r>
      <w:r w:rsidR="00905206" w:rsidRPr="005529CD">
        <w:rPr>
          <w:rFonts w:ascii="Bookman Old Style" w:hAnsi="Bookman Old Style"/>
          <w:i/>
          <w:color w:val="000000"/>
          <w:sz w:val="26"/>
          <w:szCs w:val="26"/>
        </w:rPr>
        <w:t>K &amp; K Recycling, Inc. v. Alaska Gold Co.</w:t>
      </w:r>
      <w:r w:rsidR="00905206" w:rsidRPr="005529CD">
        <w:rPr>
          <w:rFonts w:ascii="Bookman Old Style" w:hAnsi="Bookman Old Style"/>
          <w:color w:val="000000"/>
          <w:sz w:val="26"/>
          <w:szCs w:val="26"/>
        </w:rPr>
        <w:t>, 80 P.3d 702, 71</w:t>
      </w:r>
      <w:r w:rsidR="00357DEF" w:rsidRPr="005529CD">
        <w:rPr>
          <w:rFonts w:ascii="Bookman Old Style" w:hAnsi="Bookman Old Style"/>
          <w:color w:val="000000"/>
          <w:sz w:val="26"/>
          <w:szCs w:val="26"/>
        </w:rPr>
        <w:t>6</w:t>
      </w:r>
      <w:r w:rsidR="00905206" w:rsidRPr="005529CD">
        <w:rPr>
          <w:rFonts w:ascii="Bookman Old Style" w:hAnsi="Bookman Old Style"/>
          <w:color w:val="000000"/>
          <w:sz w:val="26"/>
          <w:szCs w:val="26"/>
        </w:rPr>
        <w:t xml:space="preserve"> (Alaska</w:t>
      </w:r>
      <w:r w:rsidR="00447718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905206" w:rsidRPr="005529CD">
        <w:rPr>
          <w:rFonts w:ascii="Bookman Old Style" w:hAnsi="Bookman Old Style"/>
          <w:color w:val="000000"/>
          <w:sz w:val="26"/>
          <w:szCs w:val="26"/>
        </w:rPr>
        <w:t xml:space="preserve">2003); </w:t>
      </w:r>
      <w:r w:rsidR="003D631B" w:rsidRPr="005529CD">
        <w:rPr>
          <w:rFonts w:ascii="Bookman Old Style" w:hAnsi="Bookman Old Style"/>
          <w:i/>
          <w:color w:val="000000"/>
          <w:sz w:val="26"/>
          <w:szCs w:val="26"/>
        </w:rPr>
        <w:t>Odom v. Lee</w:t>
      </w:r>
      <w:r w:rsidR="003D631B" w:rsidRPr="005529CD">
        <w:rPr>
          <w:rFonts w:ascii="Bookman Old Style" w:hAnsi="Bookman Old Style"/>
          <w:color w:val="000000"/>
          <w:sz w:val="26"/>
          <w:szCs w:val="26"/>
        </w:rPr>
        <w:t xml:space="preserve">, 999 P.2d 755, 761 (Alaska 2000).  </w:t>
      </w:r>
      <w:r w:rsidR="00563DC7">
        <w:rPr>
          <w:rFonts w:ascii="Bookman Old Style" w:hAnsi="Bookman Old Style"/>
          <w:color w:val="000000"/>
          <w:sz w:val="26"/>
          <w:szCs w:val="26"/>
        </w:rPr>
        <w:t>E</w:t>
      </w:r>
      <w:r w:rsidR="007B7A6F">
        <w:rPr>
          <w:rFonts w:ascii="Bookman Old Style" w:hAnsi="Bookman Old Style"/>
          <w:color w:val="000000"/>
          <w:sz w:val="26"/>
          <w:szCs w:val="26"/>
        </w:rPr>
        <w:t xml:space="preserve">lements two and three </w:t>
      </w:r>
      <w:r w:rsidR="00563DC7">
        <w:rPr>
          <w:rFonts w:ascii="Bookman Old Style" w:hAnsi="Bookman Old Style"/>
          <w:color w:val="000000"/>
          <w:sz w:val="26"/>
          <w:szCs w:val="26"/>
        </w:rPr>
        <w:t>of the i</w:t>
      </w:r>
      <w:r w:rsidR="007B7A6F">
        <w:rPr>
          <w:rFonts w:ascii="Bookman Old Style" w:hAnsi="Bookman Old Style"/>
          <w:color w:val="000000"/>
          <w:sz w:val="26"/>
          <w:szCs w:val="26"/>
        </w:rPr>
        <w:t>nstruction</w:t>
      </w:r>
      <w:r w:rsidR="00563DC7">
        <w:rPr>
          <w:rFonts w:ascii="Bookman Old Style" w:hAnsi="Bookman Old Style"/>
          <w:color w:val="000000"/>
          <w:sz w:val="26"/>
          <w:szCs w:val="26"/>
        </w:rPr>
        <w:t xml:space="preserve"> may </w:t>
      </w:r>
      <w:r w:rsidR="00EB7540">
        <w:rPr>
          <w:rFonts w:ascii="Bookman Old Style" w:hAnsi="Bookman Old Style"/>
          <w:color w:val="000000"/>
          <w:sz w:val="26"/>
          <w:szCs w:val="26"/>
        </w:rPr>
        <w:t xml:space="preserve">be </w:t>
      </w:r>
      <w:r w:rsidR="00563DC7">
        <w:rPr>
          <w:rFonts w:ascii="Bookman Old Style" w:hAnsi="Bookman Old Style"/>
          <w:color w:val="000000"/>
          <w:sz w:val="26"/>
          <w:szCs w:val="26"/>
        </w:rPr>
        <w:t xml:space="preserve">combined </w:t>
      </w:r>
      <w:r w:rsidR="00151195">
        <w:rPr>
          <w:rFonts w:ascii="Bookman Old Style" w:hAnsi="Bookman Old Style"/>
          <w:color w:val="000000"/>
          <w:sz w:val="26"/>
          <w:szCs w:val="26"/>
        </w:rPr>
        <w:t xml:space="preserve">into </w:t>
      </w:r>
      <w:r w:rsidR="007B7A6F">
        <w:rPr>
          <w:rFonts w:ascii="Bookman Old Style" w:hAnsi="Bookman Old Style"/>
          <w:color w:val="000000"/>
          <w:sz w:val="26"/>
          <w:szCs w:val="26"/>
        </w:rPr>
        <w:t xml:space="preserve">a single element.  </w:t>
      </w:r>
      <w:r w:rsidR="00EB7540">
        <w:rPr>
          <w:rFonts w:ascii="Bookman Old Style" w:hAnsi="Bookman Old Style"/>
          <w:i/>
          <w:color w:val="000000"/>
          <w:sz w:val="26"/>
          <w:szCs w:val="26"/>
        </w:rPr>
        <w:t xml:space="preserve">See, </w:t>
      </w:r>
      <w:r w:rsidR="00EB7540" w:rsidRPr="00EB7540">
        <w:rPr>
          <w:rFonts w:ascii="Bookman Old Style" w:hAnsi="Bookman Old Style"/>
          <w:i/>
          <w:color w:val="000000"/>
          <w:sz w:val="26"/>
          <w:szCs w:val="26"/>
        </w:rPr>
        <w:t>e</w:t>
      </w:r>
      <w:r w:rsidR="007B7A6F" w:rsidRPr="00EB7540">
        <w:rPr>
          <w:rFonts w:ascii="Bookman Old Style" w:hAnsi="Bookman Old Style"/>
          <w:i/>
          <w:color w:val="000000"/>
          <w:sz w:val="26"/>
          <w:szCs w:val="26"/>
        </w:rPr>
        <w:t>.g.</w:t>
      </w:r>
      <w:r w:rsidR="007B7A6F">
        <w:rPr>
          <w:rFonts w:ascii="Bookman Old Style" w:hAnsi="Bookman Old Style"/>
          <w:color w:val="000000"/>
          <w:sz w:val="26"/>
          <w:szCs w:val="26"/>
        </w:rPr>
        <w:t xml:space="preserve">, </w:t>
      </w:r>
      <w:r w:rsidR="000C5140" w:rsidRPr="00027004">
        <w:rPr>
          <w:rFonts w:ascii="Bookman Old Style" w:hAnsi="Bookman Old Style" w:cs="Bookman Old Style"/>
          <w:i/>
          <w:sz w:val="26"/>
          <w:szCs w:val="26"/>
        </w:rPr>
        <w:t>Briggs</w:t>
      </w:r>
      <w:r w:rsidR="000C5140">
        <w:rPr>
          <w:rFonts w:ascii="Bookman Old Style" w:hAnsi="Bookman Old Style" w:cs="Bookman Old Style"/>
          <w:i/>
          <w:sz w:val="26"/>
          <w:szCs w:val="26"/>
        </w:rPr>
        <w:t xml:space="preserve">, </w:t>
      </w:r>
      <w:r w:rsidR="000C5140" w:rsidRPr="00EB7540">
        <w:rPr>
          <w:rFonts w:ascii="Bookman Old Style" w:hAnsi="Bookman Old Style" w:cs="Bookman Old Style"/>
          <w:sz w:val="26"/>
          <w:szCs w:val="26"/>
        </w:rPr>
        <w:t xml:space="preserve">984 P.2d at </w:t>
      </w:r>
      <w:r w:rsidR="000C5140">
        <w:rPr>
          <w:rFonts w:ascii="Bookman Old Style" w:hAnsi="Bookman Old Style" w:cs="Bookman Old Style"/>
          <w:sz w:val="26"/>
          <w:szCs w:val="26"/>
        </w:rPr>
        <w:t>1119.</w:t>
      </w:r>
      <w:r w:rsidR="005B57D0">
        <w:rPr>
          <w:rFonts w:ascii="Bookman Old Style" w:hAnsi="Bookman Old Style" w:cs="Bookman Old Style"/>
          <w:sz w:val="26"/>
          <w:szCs w:val="26"/>
        </w:rPr>
        <w:t xml:space="preserve"> </w:t>
      </w:r>
      <w:r w:rsidR="00FD3EA8">
        <w:rPr>
          <w:rFonts w:ascii="Bookman Old Style" w:hAnsi="Bookman Old Style" w:cs="Bookman Old Style"/>
          <w:sz w:val="26"/>
          <w:szCs w:val="26"/>
        </w:rPr>
        <w:t xml:space="preserve"> </w:t>
      </w:r>
      <w:r w:rsidR="00B119E2">
        <w:rPr>
          <w:rFonts w:ascii="Bookman Old Style" w:hAnsi="Bookman Old Style"/>
          <w:color w:val="000000"/>
          <w:sz w:val="26"/>
          <w:szCs w:val="26"/>
        </w:rPr>
        <w:t xml:space="preserve">This instruction allocates the burden of proof to the plaintiff to prove all </w:t>
      </w:r>
      <w:r w:rsidR="001867F3">
        <w:rPr>
          <w:rFonts w:ascii="Bookman Old Style" w:hAnsi="Bookman Old Style"/>
          <w:color w:val="000000"/>
          <w:sz w:val="26"/>
          <w:szCs w:val="26"/>
        </w:rPr>
        <w:t xml:space="preserve">of the </w:t>
      </w:r>
      <w:r w:rsidR="00B119E2">
        <w:rPr>
          <w:rFonts w:ascii="Bookman Old Style" w:hAnsi="Bookman Old Style"/>
          <w:color w:val="000000"/>
          <w:sz w:val="26"/>
          <w:szCs w:val="26"/>
        </w:rPr>
        <w:t xml:space="preserve">elements. </w:t>
      </w:r>
      <w:r w:rsidR="006E0729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D00F3C">
        <w:rPr>
          <w:rFonts w:ascii="Bookman Old Style" w:hAnsi="Bookman Old Style"/>
          <w:i/>
          <w:color w:val="000000"/>
          <w:sz w:val="26"/>
          <w:szCs w:val="26"/>
        </w:rPr>
        <w:t>See</w:t>
      </w:r>
      <w:r w:rsidR="00B119E2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625AAE" w:rsidRPr="00D674FD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Sisters of Providence </w:t>
      </w:r>
      <w:r w:rsidR="009C3214">
        <w:rPr>
          <w:rFonts w:ascii="Bookman Old Style" w:hAnsi="Bookman Old Style" w:cs="Bookman Old Style"/>
          <w:i/>
          <w:snapToGrid w:val="0"/>
          <w:sz w:val="26"/>
          <w:szCs w:val="26"/>
        </w:rPr>
        <w:t>i</w:t>
      </w:r>
      <w:r w:rsidR="00625AAE" w:rsidRPr="00D674FD">
        <w:rPr>
          <w:rFonts w:ascii="Bookman Old Style" w:hAnsi="Bookman Old Style" w:cs="Bookman Old Style"/>
          <w:i/>
          <w:snapToGrid w:val="0"/>
          <w:sz w:val="26"/>
          <w:szCs w:val="26"/>
        </w:rPr>
        <w:t>n Washington v. A.A. Pain Clinic, Inc.</w:t>
      </w:r>
      <w:r w:rsidR="00625AAE" w:rsidRPr="0016101B">
        <w:rPr>
          <w:rFonts w:ascii="Bookman Old Style" w:hAnsi="Bookman Old Style" w:cs="Bookman Old Style"/>
          <w:snapToGrid w:val="0"/>
          <w:sz w:val="26"/>
          <w:szCs w:val="26"/>
        </w:rPr>
        <w:t>,</w:t>
      </w:r>
      <w:r w:rsidR="00625AAE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625AAE" w:rsidRPr="0016101B">
        <w:rPr>
          <w:rFonts w:ascii="Bookman Old Style" w:hAnsi="Bookman Old Style" w:cs="Bookman Old Style"/>
          <w:snapToGrid w:val="0"/>
          <w:sz w:val="26"/>
          <w:szCs w:val="26"/>
        </w:rPr>
        <w:t xml:space="preserve">81 P.3d 989, </w:t>
      </w:r>
      <w:r w:rsidR="00625AAE">
        <w:rPr>
          <w:rFonts w:ascii="Bookman Old Style" w:hAnsi="Bookman Old Style" w:cs="Bookman Old Style"/>
          <w:snapToGrid w:val="0"/>
          <w:sz w:val="26"/>
          <w:szCs w:val="26"/>
        </w:rPr>
        <w:t>997-</w:t>
      </w:r>
      <w:r w:rsidR="00EB7540">
        <w:rPr>
          <w:rFonts w:ascii="Bookman Old Style" w:hAnsi="Bookman Old Style" w:cs="Bookman Old Style"/>
          <w:snapToGrid w:val="0"/>
          <w:sz w:val="26"/>
          <w:szCs w:val="26"/>
        </w:rPr>
        <w:t>9</w:t>
      </w:r>
      <w:r w:rsidR="00625AAE">
        <w:rPr>
          <w:rFonts w:ascii="Bookman Old Style" w:hAnsi="Bookman Old Style" w:cs="Bookman Old Style"/>
          <w:snapToGrid w:val="0"/>
          <w:sz w:val="26"/>
          <w:szCs w:val="26"/>
        </w:rPr>
        <w:t>9</w:t>
      </w:r>
      <w:r w:rsidR="00625AAE" w:rsidRPr="0016101B">
        <w:rPr>
          <w:rFonts w:ascii="Bookman Old Style" w:hAnsi="Bookman Old Style" w:cs="Bookman Old Style"/>
          <w:snapToGrid w:val="0"/>
          <w:sz w:val="26"/>
          <w:szCs w:val="26"/>
        </w:rPr>
        <w:t xml:space="preserve"> (Alaska 2003).</w:t>
      </w:r>
      <w:r w:rsidR="00625AAE">
        <w:rPr>
          <w:rFonts w:ascii="Bookman Old Style" w:hAnsi="Bookman Old Style" w:cs="Bookman Old Style"/>
          <w:snapToGrid w:val="0"/>
          <w:sz w:val="26"/>
          <w:szCs w:val="26"/>
        </w:rPr>
        <w:t xml:space="preserve">  </w:t>
      </w:r>
      <w:r w:rsidR="00B119E2">
        <w:rPr>
          <w:rFonts w:ascii="Bookman Old Style" w:hAnsi="Bookman Old Style"/>
          <w:color w:val="000000"/>
          <w:sz w:val="26"/>
          <w:szCs w:val="26"/>
        </w:rPr>
        <w:t xml:space="preserve"> </w:t>
      </w:r>
    </w:p>
    <w:p w:rsidR="00656FBA" w:rsidRDefault="00656FBA" w:rsidP="00C13E10">
      <w:pPr>
        <w:jc w:val="both"/>
        <w:rPr>
          <w:rFonts w:ascii="Bookman Old Style" w:hAnsi="Bookman Old Style"/>
          <w:sz w:val="26"/>
          <w:szCs w:val="26"/>
        </w:rPr>
      </w:pPr>
    </w:p>
    <w:p w:rsidR="00C13E10" w:rsidRPr="00002B5F" w:rsidRDefault="00C13E10" w:rsidP="00C13E10">
      <w:pPr>
        <w:jc w:val="both"/>
        <w:rPr>
          <w:rFonts w:ascii="Bookman Old Style" w:hAnsi="Bookman Old Style"/>
          <w:sz w:val="26"/>
          <w:szCs w:val="26"/>
        </w:rPr>
      </w:pPr>
      <w:r w:rsidRPr="00002B5F">
        <w:rPr>
          <w:rFonts w:ascii="Bookman Old Style" w:hAnsi="Bookman Old Style"/>
          <w:sz w:val="26"/>
          <w:szCs w:val="26"/>
        </w:rPr>
        <w:t xml:space="preserve">The first element </w:t>
      </w:r>
      <w:r w:rsidR="002A04B7">
        <w:rPr>
          <w:rFonts w:ascii="Bookman Old Style" w:hAnsi="Bookman Old Style"/>
          <w:sz w:val="26"/>
          <w:szCs w:val="26"/>
        </w:rPr>
        <w:t xml:space="preserve">requires proof </w:t>
      </w:r>
      <w:r w:rsidR="001867F3">
        <w:rPr>
          <w:rFonts w:ascii="Bookman Old Style" w:hAnsi="Bookman Old Style"/>
          <w:sz w:val="26"/>
          <w:szCs w:val="26"/>
        </w:rPr>
        <w:t xml:space="preserve">of </w:t>
      </w:r>
      <w:r w:rsidRPr="00002B5F">
        <w:rPr>
          <w:rFonts w:ascii="Bookman Old Style" w:hAnsi="Bookman Old Style"/>
          <w:sz w:val="26"/>
          <w:szCs w:val="26"/>
        </w:rPr>
        <w:t>contract</w:t>
      </w:r>
      <w:r w:rsidR="008D5236">
        <w:rPr>
          <w:rFonts w:ascii="Bookman Old Style" w:hAnsi="Bookman Old Style"/>
          <w:sz w:val="26"/>
          <w:szCs w:val="26"/>
        </w:rPr>
        <w:t xml:space="preserve">. </w:t>
      </w:r>
      <w:r w:rsidRPr="00002B5F">
        <w:rPr>
          <w:rFonts w:ascii="Bookman Old Style" w:hAnsi="Bookman Old Style"/>
          <w:sz w:val="26"/>
          <w:szCs w:val="26"/>
        </w:rPr>
        <w:t xml:space="preserve"> </w:t>
      </w:r>
      <w:r w:rsidR="00656FBA" w:rsidRPr="00002B5F">
        <w:rPr>
          <w:rFonts w:ascii="Bookman Old Style" w:hAnsi="Bookman Old Style"/>
          <w:i/>
          <w:sz w:val="26"/>
          <w:szCs w:val="26"/>
        </w:rPr>
        <w:t>Knight v. American Guard &amp; Alert, Inc.</w:t>
      </w:r>
      <w:r w:rsidR="00656FBA" w:rsidRPr="00002B5F">
        <w:rPr>
          <w:rFonts w:ascii="Bookman Old Style" w:hAnsi="Bookman Old Style"/>
          <w:sz w:val="26"/>
          <w:szCs w:val="26"/>
        </w:rPr>
        <w:t>, 714 P.2d 788</w:t>
      </w:r>
      <w:r w:rsidR="00656FBA">
        <w:rPr>
          <w:rFonts w:ascii="Bookman Old Style" w:hAnsi="Bookman Old Style"/>
          <w:sz w:val="26"/>
          <w:szCs w:val="26"/>
        </w:rPr>
        <w:t>, 794</w:t>
      </w:r>
      <w:r w:rsidR="00656FBA" w:rsidRPr="00002B5F">
        <w:rPr>
          <w:rFonts w:ascii="Bookman Old Style" w:hAnsi="Bookman Old Style"/>
          <w:sz w:val="26"/>
          <w:szCs w:val="26"/>
        </w:rPr>
        <w:t xml:space="preserve"> (</w:t>
      </w:r>
      <w:smartTag w:uri="urn:schemas-microsoft-com:office:smarttags" w:element="State">
        <w:smartTag w:uri="urn:schemas-microsoft-com:office:smarttags" w:element="place">
          <w:r w:rsidR="00656FBA" w:rsidRPr="00002B5F">
            <w:rPr>
              <w:rFonts w:ascii="Bookman Old Style" w:hAnsi="Bookman Old Style"/>
              <w:sz w:val="26"/>
              <w:szCs w:val="26"/>
            </w:rPr>
            <w:t>Alaska</w:t>
          </w:r>
        </w:smartTag>
      </w:smartTag>
      <w:r w:rsidR="00656FBA" w:rsidRPr="00002B5F">
        <w:rPr>
          <w:rFonts w:ascii="Bookman Old Style" w:hAnsi="Bookman Old Style"/>
          <w:sz w:val="26"/>
          <w:szCs w:val="26"/>
        </w:rPr>
        <w:t xml:space="preserve"> 1986)</w:t>
      </w:r>
      <w:r w:rsidRPr="00002B5F">
        <w:rPr>
          <w:rFonts w:ascii="Bookman Old Style" w:hAnsi="Bookman Old Style"/>
          <w:sz w:val="26"/>
          <w:szCs w:val="26"/>
        </w:rPr>
        <w:t xml:space="preserve">. </w:t>
      </w:r>
      <w:r w:rsidR="00FD3EA8">
        <w:rPr>
          <w:rFonts w:ascii="Bookman Old Style" w:hAnsi="Bookman Old Style"/>
          <w:sz w:val="26"/>
          <w:szCs w:val="26"/>
        </w:rPr>
        <w:t xml:space="preserve"> </w:t>
      </w:r>
      <w:r w:rsidR="001867F3">
        <w:rPr>
          <w:rFonts w:ascii="Bookman Old Style" w:hAnsi="Bookman Old Style"/>
          <w:sz w:val="26"/>
          <w:szCs w:val="26"/>
        </w:rPr>
        <w:t>E</w:t>
      </w:r>
      <w:r w:rsidRPr="00002B5F">
        <w:rPr>
          <w:rFonts w:ascii="Bookman Old Style" w:hAnsi="Bookman Old Style"/>
          <w:sz w:val="26"/>
          <w:szCs w:val="26"/>
        </w:rPr>
        <w:t xml:space="preserve">ven contracts voidable due to the statute of frauds or other technical flaws </w:t>
      </w:r>
      <w:r w:rsidR="001867F3">
        <w:rPr>
          <w:rFonts w:ascii="Bookman Old Style" w:hAnsi="Bookman Old Style"/>
          <w:sz w:val="26"/>
          <w:szCs w:val="26"/>
        </w:rPr>
        <w:t>may</w:t>
      </w:r>
      <w:r w:rsidRPr="00002B5F">
        <w:rPr>
          <w:rFonts w:ascii="Bookman Old Style" w:hAnsi="Bookman Old Style"/>
          <w:sz w:val="26"/>
          <w:szCs w:val="26"/>
        </w:rPr>
        <w:t xml:space="preserve"> </w:t>
      </w:r>
      <w:r w:rsidR="001867F3">
        <w:rPr>
          <w:rFonts w:ascii="Bookman Old Style" w:hAnsi="Bookman Old Style"/>
          <w:sz w:val="26"/>
          <w:szCs w:val="26"/>
        </w:rPr>
        <w:t xml:space="preserve">be </w:t>
      </w:r>
      <w:r w:rsidRPr="00002B5F">
        <w:rPr>
          <w:rFonts w:ascii="Bookman Old Style" w:hAnsi="Bookman Old Style"/>
          <w:sz w:val="26"/>
          <w:szCs w:val="26"/>
        </w:rPr>
        <w:t xml:space="preserve">protected against interference by third parties. </w:t>
      </w:r>
      <w:r w:rsidR="00FD3EA8">
        <w:rPr>
          <w:rFonts w:ascii="Bookman Old Style" w:hAnsi="Bookman Old Style"/>
          <w:sz w:val="26"/>
          <w:szCs w:val="26"/>
        </w:rPr>
        <w:t xml:space="preserve"> </w:t>
      </w:r>
      <w:r w:rsidRPr="00002B5F">
        <w:rPr>
          <w:rFonts w:ascii="Bookman Old Style" w:hAnsi="Bookman Old Style"/>
          <w:sz w:val="26"/>
          <w:szCs w:val="26"/>
        </w:rPr>
        <w:t xml:space="preserve">Restatement (Second) of Torts </w:t>
      </w:r>
      <w:r w:rsidR="009C3214">
        <w:rPr>
          <w:rFonts w:ascii="Bookman Old Style" w:hAnsi="Bookman Old Style"/>
          <w:sz w:val="26"/>
          <w:szCs w:val="26"/>
        </w:rPr>
        <w:t>§</w:t>
      </w:r>
      <w:r w:rsidRPr="00002B5F">
        <w:rPr>
          <w:rFonts w:ascii="Bookman Old Style" w:hAnsi="Bookman Old Style"/>
          <w:sz w:val="26"/>
          <w:szCs w:val="26"/>
        </w:rPr>
        <w:t xml:space="preserve"> 766 comment f. </w:t>
      </w:r>
    </w:p>
    <w:p w:rsidR="00C13E10" w:rsidRDefault="00C13E10" w:rsidP="003D631B">
      <w:pPr>
        <w:jc w:val="both"/>
        <w:rPr>
          <w:rFonts w:ascii="Bookman Old Style" w:hAnsi="Bookman Old Style"/>
          <w:sz w:val="26"/>
          <w:szCs w:val="26"/>
        </w:rPr>
      </w:pPr>
    </w:p>
    <w:p w:rsidR="00C13E10" w:rsidRDefault="00C13E10" w:rsidP="00C13E10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The </w:t>
      </w:r>
      <w:r w:rsidR="0054460F">
        <w:rPr>
          <w:rFonts w:ascii="Bookman Old Style" w:hAnsi="Bookman Old Style"/>
          <w:sz w:val="26"/>
          <w:szCs w:val="26"/>
        </w:rPr>
        <w:t xml:space="preserve">second and third elements require </w:t>
      </w:r>
      <w:r w:rsidR="00151195">
        <w:rPr>
          <w:rFonts w:ascii="Bookman Old Style" w:hAnsi="Bookman Old Style"/>
          <w:sz w:val="26"/>
          <w:szCs w:val="26"/>
        </w:rPr>
        <w:t xml:space="preserve">the </w:t>
      </w:r>
      <w:r w:rsidR="0054460F">
        <w:rPr>
          <w:rFonts w:ascii="Bookman Old Style" w:hAnsi="Bookman Old Style"/>
          <w:sz w:val="26"/>
          <w:szCs w:val="26"/>
        </w:rPr>
        <w:t xml:space="preserve">plaintiff to show that </w:t>
      </w:r>
      <w:r w:rsidR="00151195">
        <w:rPr>
          <w:rFonts w:ascii="Bookman Old Style" w:hAnsi="Bookman Old Style"/>
          <w:sz w:val="26"/>
          <w:szCs w:val="26"/>
        </w:rPr>
        <w:t xml:space="preserve">the </w:t>
      </w:r>
      <w:r w:rsidR="0054460F">
        <w:rPr>
          <w:rFonts w:ascii="Bookman Old Style" w:hAnsi="Bookman Old Style"/>
          <w:sz w:val="26"/>
          <w:szCs w:val="26"/>
        </w:rPr>
        <w:t xml:space="preserve">defendant knew of the contract and intended to induce breach.  </w:t>
      </w:r>
      <w:r w:rsidR="0054460F" w:rsidRPr="00FB1FCD">
        <w:rPr>
          <w:rFonts w:ascii="Bookman Old Style" w:hAnsi="Bookman Old Style"/>
          <w:i/>
          <w:sz w:val="26"/>
          <w:szCs w:val="26"/>
        </w:rPr>
        <w:t>Knight</w:t>
      </w:r>
      <w:r w:rsidR="0054460F" w:rsidRPr="0054460F">
        <w:rPr>
          <w:rFonts w:ascii="Bookman Old Style" w:hAnsi="Bookman Old Style"/>
          <w:sz w:val="26"/>
          <w:szCs w:val="26"/>
        </w:rPr>
        <w:t>, 714 P.2d at 793.</w:t>
      </w:r>
      <w:r w:rsidR="0054460F">
        <w:rPr>
          <w:rFonts w:ascii="Bookman Old Style" w:hAnsi="Bookman Old Style"/>
          <w:sz w:val="26"/>
          <w:szCs w:val="26"/>
        </w:rPr>
        <w:t xml:space="preserve"> </w:t>
      </w:r>
      <w:r w:rsidR="00FD3EA8">
        <w:rPr>
          <w:rFonts w:ascii="Bookman Old Style" w:hAnsi="Bookman Old Style"/>
          <w:sz w:val="26"/>
          <w:szCs w:val="26"/>
        </w:rPr>
        <w:t xml:space="preserve"> </w:t>
      </w:r>
      <w:r w:rsidR="0054460F">
        <w:rPr>
          <w:rFonts w:ascii="Bookman Old Style" w:hAnsi="Bookman Old Style"/>
          <w:sz w:val="26"/>
          <w:szCs w:val="26"/>
        </w:rPr>
        <w:t xml:space="preserve">But breach </w:t>
      </w:r>
      <w:r w:rsidR="002F67BF">
        <w:rPr>
          <w:rFonts w:ascii="Bookman Old Style" w:hAnsi="Bookman Old Style"/>
          <w:sz w:val="26"/>
          <w:szCs w:val="26"/>
        </w:rPr>
        <w:t xml:space="preserve">has been </w:t>
      </w:r>
      <w:r>
        <w:rPr>
          <w:rFonts w:ascii="Bookman Old Style" w:hAnsi="Bookman Old Style"/>
          <w:sz w:val="26"/>
          <w:szCs w:val="26"/>
        </w:rPr>
        <w:t xml:space="preserve">broadly construed.  </w:t>
      </w:r>
      <w:r w:rsidR="002F67BF">
        <w:rPr>
          <w:rFonts w:ascii="Bookman Old Style" w:hAnsi="Bookman Old Style"/>
          <w:sz w:val="26"/>
          <w:szCs w:val="26"/>
        </w:rPr>
        <w:t>T</w:t>
      </w:r>
      <w:r w:rsidR="00A56184" w:rsidRPr="00002B5F">
        <w:rPr>
          <w:rFonts w:ascii="Bookman Old Style" w:hAnsi="Bookman Old Style"/>
          <w:sz w:val="26"/>
          <w:szCs w:val="26"/>
        </w:rPr>
        <w:t xml:space="preserve">he tort </w:t>
      </w:r>
      <w:r w:rsidR="002F67BF">
        <w:rPr>
          <w:rFonts w:ascii="Bookman Old Style" w:hAnsi="Bookman Old Style"/>
          <w:sz w:val="26"/>
          <w:szCs w:val="26"/>
        </w:rPr>
        <w:t xml:space="preserve">has been </w:t>
      </w:r>
      <w:r w:rsidR="00A56184" w:rsidRPr="00002B5F">
        <w:rPr>
          <w:rFonts w:ascii="Bookman Old Style" w:hAnsi="Bookman Old Style"/>
          <w:sz w:val="26"/>
          <w:szCs w:val="26"/>
        </w:rPr>
        <w:t>appli</w:t>
      </w:r>
      <w:r w:rsidR="002F67BF">
        <w:rPr>
          <w:rFonts w:ascii="Bookman Old Style" w:hAnsi="Bookman Old Style"/>
          <w:sz w:val="26"/>
          <w:szCs w:val="26"/>
        </w:rPr>
        <w:t>ed</w:t>
      </w:r>
      <w:r w:rsidR="00A56184" w:rsidRPr="00002B5F">
        <w:rPr>
          <w:rFonts w:ascii="Bookman Old Style" w:hAnsi="Bookman Old Style"/>
          <w:sz w:val="26"/>
          <w:szCs w:val="26"/>
        </w:rPr>
        <w:t xml:space="preserve"> </w:t>
      </w:r>
      <w:r w:rsidR="002F67BF">
        <w:rPr>
          <w:rFonts w:ascii="Bookman Old Style" w:hAnsi="Bookman Old Style"/>
          <w:sz w:val="26"/>
          <w:szCs w:val="26"/>
        </w:rPr>
        <w:t xml:space="preserve">to </w:t>
      </w:r>
      <w:r w:rsidR="00A56184" w:rsidRPr="00002B5F">
        <w:rPr>
          <w:rFonts w:ascii="Bookman Old Style" w:hAnsi="Bookman Old Style"/>
          <w:sz w:val="26"/>
          <w:szCs w:val="26"/>
        </w:rPr>
        <w:t>inducing termination of a</w:t>
      </w:r>
      <w:r w:rsidR="002F67BF">
        <w:rPr>
          <w:rFonts w:ascii="Bookman Old Style" w:hAnsi="Bookman Old Style"/>
          <w:sz w:val="26"/>
          <w:szCs w:val="26"/>
        </w:rPr>
        <w:t xml:space="preserve"> contract that was terminable at </w:t>
      </w:r>
      <w:r w:rsidR="002F67BF">
        <w:rPr>
          <w:rFonts w:ascii="Bookman Old Style" w:hAnsi="Bookman Old Style"/>
          <w:sz w:val="26"/>
          <w:szCs w:val="26"/>
        </w:rPr>
        <w:lastRenderedPageBreak/>
        <w:t>will</w:t>
      </w:r>
      <w:r w:rsidR="00A56184">
        <w:rPr>
          <w:rFonts w:ascii="Bookman Old Style" w:hAnsi="Bookman Old Style"/>
          <w:sz w:val="26"/>
          <w:szCs w:val="26"/>
        </w:rPr>
        <w:t>.</w:t>
      </w:r>
      <w:r w:rsidR="00D96C52">
        <w:rPr>
          <w:rFonts w:ascii="Bookman Old Style" w:hAnsi="Bookman Old Style"/>
          <w:sz w:val="26"/>
          <w:szCs w:val="26"/>
        </w:rPr>
        <w:t xml:space="preserve"> </w:t>
      </w:r>
      <w:r w:rsidR="00FD3EA8">
        <w:rPr>
          <w:rFonts w:ascii="Bookman Old Style" w:hAnsi="Bookman Old Style"/>
          <w:sz w:val="26"/>
          <w:szCs w:val="26"/>
        </w:rPr>
        <w:t xml:space="preserve"> </w:t>
      </w:r>
      <w:r w:rsidR="00EB7540">
        <w:rPr>
          <w:rFonts w:ascii="Bookman Old Style" w:hAnsi="Bookman Old Style"/>
          <w:i/>
          <w:sz w:val="26"/>
          <w:szCs w:val="26"/>
        </w:rPr>
        <w:t>See, e</w:t>
      </w:r>
      <w:r w:rsidR="00FA0D51" w:rsidRPr="00FB1FCD">
        <w:rPr>
          <w:rFonts w:ascii="Bookman Old Style" w:hAnsi="Bookman Old Style"/>
          <w:i/>
          <w:sz w:val="26"/>
          <w:szCs w:val="26"/>
        </w:rPr>
        <w:t>.g.</w:t>
      </w:r>
      <w:r w:rsidR="00FA0D51">
        <w:rPr>
          <w:rFonts w:ascii="Bookman Old Style" w:hAnsi="Bookman Old Style"/>
          <w:sz w:val="26"/>
          <w:szCs w:val="26"/>
        </w:rPr>
        <w:t xml:space="preserve"> </w:t>
      </w:r>
      <w:r w:rsidR="00FA0D51" w:rsidRPr="005529CD">
        <w:rPr>
          <w:rFonts w:ascii="Bookman Old Style" w:hAnsi="Bookman Old Style" w:cs="Bookman Old Style"/>
          <w:i/>
          <w:sz w:val="26"/>
          <w:szCs w:val="26"/>
        </w:rPr>
        <w:t>Kinzel</w:t>
      </w:r>
      <w:r w:rsidR="00FA0D51" w:rsidRPr="005529CD">
        <w:rPr>
          <w:rFonts w:ascii="Bookman Old Style" w:hAnsi="Bookman Old Style" w:cs="Bookman Old Style"/>
          <w:sz w:val="26"/>
          <w:szCs w:val="26"/>
        </w:rPr>
        <w:t>,</w:t>
      </w:r>
      <w:r w:rsidR="002F67BF">
        <w:rPr>
          <w:rFonts w:ascii="Bookman Old Style" w:hAnsi="Bookman Old Style" w:cs="Bookman Old Style"/>
          <w:sz w:val="26"/>
          <w:szCs w:val="26"/>
        </w:rPr>
        <w:t xml:space="preserve"> </w:t>
      </w:r>
      <w:r w:rsidR="00FA0D51" w:rsidRPr="005529CD">
        <w:rPr>
          <w:rFonts w:ascii="Bookman Old Style" w:hAnsi="Bookman Old Style" w:cs="Bookman Old Style"/>
          <w:sz w:val="26"/>
          <w:szCs w:val="26"/>
        </w:rPr>
        <w:t xml:space="preserve">93 P.3d </w:t>
      </w:r>
      <w:r w:rsidR="00FA0D51">
        <w:rPr>
          <w:rFonts w:ascii="Bookman Old Style" w:hAnsi="Bookman Old Style" w:cs="Bookman Old Style"/>
          <w:sz w:val="26"/>
          <w:szCs w:val="26"/>
        </w:rPr>
        <w:t>at</w:t>
      </w:r>
      <w:r w:rsidR="002F67BF">
        <w:rPr>
          <w:rFonts w:ascii="Bookman Old Style" w:hAnsi="Bookman Old Style" w:cs="Bookman Old Style"/>
          <w:sz w:val="26"/>
          <w:szCs w:val="26"/>
        </w:rPr>
        <w:t xml:space="preserve"> </w:t>
      </w:r>
      <w:r w:rsidR="00FA0D51" w:rsidRPr="005529CD">
        <w:rPr>
          <w:rFonts w:ascii="Bookman Old Style" w:hAnsi="Bookman Old Style" w:cs="Bookman Old Style"/>
          <w:sz w:val="26"/>
          <w:szCs w:val="26"/>
        </w:rPr>
        <w:t>4</w:t>
      </w:r>
      <w:r w:rsidR="008169CE">
        <w:rPr>
          <w:rFonts w:ascii="Bookman Old Style" w:hAnsi="Bookman Old Style" w:cs="Bookman Old Style"/>
          <w:sz w:val="26"/>
          <w:szCs w:val="26"/>
        </w:rPr>
        <w:t>33</w:t>
      </w:r>
      <w:r w:rsidR="00FA0D51">
        <w:rPr>
          <w:rFonts w:ascii="Bookman Old Style" w:hAnsi="Bookman Old Style" w:cs="Bookman Old Style"/>
          <w:sz w:val="26"/>
          <w:szCs w:val="26"/>
        </w:rPr>
        <w:t xml:space="preserve">. </w:t>
      </w:r>
      <w:r w:rsidR="00FA0D51" w:rsidRPr="005529CD">
        <w:rPr>
          <w:rFonts w:ascii="Bookman Old Style" w:hAnsi="Bookman Old Style" w:cs="Bookman Old Style"/>
          <w:sz w:val="26"/>
          <w:szCs w:val="26"/>
        </w:rPr>
        <w:t xml:space="preserve"> </w:t>
      </w:r>
      <w:r w:rsidR="002F67BF">
        <w:rPr>
          <w:rFonts w:ascii="Bookman Old Style" w:hAnsi="Bookman Old Style" w:cs="Bookman Old Style"/>
          <w:sz w:val="26"/>
          <w:szCs w:val="26"/>
        </w:rPr>
        <w:t xml:space="preserve">It may also apply to situations where the interference </w:t>
      </w:r>
      <w:r w:rsidR="008B480B">
        <w:rPr>
          <w:rFonts w:ascii="Bookman Old Style" w:hAnsi="Bookman Old Style" w:cs="Bookman Old Style"/>
          <w:sz w:val="26"/>
          <w:szCs w:val="26"/>
        </w:rPr>
        <w:t xml:space="preserve">made </w:t>
      </w:r>
      <w:r w:rsidR="00151195">
        <w:rPr>
          <w:rFonts w:ascii="Bookman Old Style" w:hAnsi="Bookman Old Style" w:cs="Bookman Old Style"/>
          <w:sz w:val="26"/>
          <w:szCs w:val="26"/>
        </w:rPr>
        <w:t xml:space="preserve">the </w:t>
      </w:r>
      <w:r w:rsidR="008B480B">
        <w:rPr>
          <w:rFonts w:ascii="Bookman Old Style" w:hAnsi="Bookman Old Style" w:cs="Bookman Old Style"/>
          <w:sz w:val="26"/>
          <w:szCs w:val="26"/>
        </w:rPr>
        <w:t>plaintiff</w:t>
      </w:r>
      <w:r w:rsidR="007F798D">
        <w:rPr>
          <w:rFonts w:ascii="Bookman Old Style" w:hAnsi="Bookman Old Style" w:cs="Bookman Old Style"/>
          <w:sz w:val="26"/>
          <w:szCs w:val="26"/>
        </w:rPr>
        <w:t>’</w:t>
      </w:r>
      <w:r w:rsidR="008B480B">
        <w:rPr>
          <w:rFonts w:ascii="Bookman Old Style" w:hAnsi="Bookman Old Style" w:cs="Bookman Old Style"/>
          <w:sz w:val="26"/>
          <w:szCs w:val="26"/>
        </w:rPr>
        <w:t xml:space="preserve">s </w:t>
      </w:r>
      <w:r w:rsidR="008B480B" w:rsidRPr="008B480B">
        <w:rPr>
          <w:rFonts w:ascii="Bookman Old Style" w:hAnsi="Bookman Old Style" w:cs="Bookman Old Style"/>
          <w:sz w:val="26"/>
          <w:szCs w:val="26"/>
        </w:rPr>
        <w:t>performance more expensive or burdensome.</w:t>
      </w:r>
      <w:r w:rsidR="00151195">
        <w:rPr>
          <w:rFonts w:ascii="Bookman Old Style" w:hAnsi="Bookman Old Style" w:cs="Bookman Old Style"/>
          <w:sz w:val="26"/>
          <w:szCs w:val="26"/>
        </w:rPr>
        <w:t xml:space="preserve"> </w:t>
      </w:r>
      <w:r w:rsidR="00FD3EA8">
        <w:rPr>
          <w:rFonts w:ascii="Bookman Old Style" w:hAnsi="Bookman Old Style" w:cs="Bookman Old Style"/>
          <w:sz w:val="26"/>
          <w:szCs w:val="26"/>
        </w:rPr>
        <w:t xml:space="preserve"> </w:t>
      </w:r>
      <w:r w:rsidR="008B480B" w:rsidRPr="00FB1FCD">
        <w:rPr>
          <w:rFonts w:ascii="Bookman Old Style" w:hAnsi="Bookman Old Style" w:cs="Bookman Old Style"/>
          <w:i/>
          <w:sz w:val="26"/>
          <w:szCs w:val="26"/>
        </w:rPr>
        <w:t xml:space="preserve">See Briggs v. </w:t>
      </w:r>
      <w:smartTag w:uri="urn:schemas-microsoft-com:office:smarttags" w:element="City">
        <w:r w:rsidR="008B480B" w:rsidRPr="00FB1FCD">
          <w:rPr>
            <w:rFonts w:ascii="Bookman Old Style" w:hAnsi="Bookman Old Style" w:cs="Bookman Old Style"/>
            <w:i/>
            <w:sz w:val="26"/>
            <w:szCs w:val="26"/>
          </w:rPr>
          <w:t>Newton</w:t>
        </w:r>
      </w:smartTag>
      <w:r w:rsidR="00254969">
        <w:rPr>
          <w:rFonts w:ascii="Bookman Old Style" w:hAnsi="Bookman Old Style" w:cs="Bookman Old Style"/>
          <w:sz w:val="26"/>
          <w:szCs w:val="26"/>
        </w:rPr>
        <w:t xml:space="preserve">, 984 P.2d 1113, </w:t>
      </w:r>
      <w:r w:rsidR="008B480B" w:rsidRPr="008B480B">
        <w:rPr>
          <w:rFonts w:ascii="Bookman Old Style" w:hAnsi="Bookman Old Style" w:cs="Bookman Old Style"/>
          <w:sz w:val="26"/>
          <w:szCs w:val="26"/>
        </w:rPr>
        <w:t>1119 (</w:t>
      </w:r>
      <w:smartTag w:uri="urn:schemas-microsoft-com:office:smarttags" w:element="State">
        <w:smartTag w:uri="urn:schemas-microsoft-com:office:smarttags" w:element="place">
          <w:r w:rsidR="008B480B" w:rsidRPr="008B480B">
            <w:rPr>
              <w:rFonts w:ascii="Bookman Old Style" w:hAnsi="Bookman Old Style" w:cs="Bookman Old Style"/>
              <w:sz w:val="26"/>
              <w:szCs w:val="26"/>
            </w:rPr>
            <w:t>Alaska</w:t>
          </w:r>
        </w:smartTag>
      </w:smartTag>
      <w:r w:rsidR="008B480B" w:rsidRPr="008B480B">
        <w:rPr>
          <w:rFonts w:ascii="Bookman Old Style" w:hAnsi="Bookman Old Style" w:cs="Bookman Old Style"/>
          <w:sz w:val="26"/>
          <w:szCs w:val="26"/>
        </w:rPr>
        <w:t xml:space="preserve"> 1999).</w:t>
      </w:r>
      <w:r w:rsidR="00254969">
        <w:rPr>
          <w:rFonts w:ascii="Bookman Old Style" w:hAnsi="Bookman Old Style" w:cs="Bookman Old Style"/>
          <w:sz w:val="26"/>
          <w:szCs w:val="26"/>
        </w:rPr>
        <w:t xml:space="preserve"> </w:t>
      </w:r>
      <w:r w:rsidR="00FD3EA8">
        <w:rPr>
          <w:rFonts w:ascii="Bookman Old Style" w:hAnsi="Bookman Old Style" w:cs="Bookman Old Style"/>
          <w:sz w:val="26"/>
          <w:szCs w:val="26"/>
        </w:rPr>
        <w:t xml:space="preserve"> </w:t>
      </w:r>
      <w:r w:rsidR="008B480B">
        <w:rPr>
          <w:rFonts w:ascii="Bookman Old Style" w:hAnsi="Bookman Old Style"/>
          <w:sz w:val="26"/>
          <w:szCs w:val="26"/>
        </w:rPr>
        <w:t xml:space="preserve">The </w:t>
      </w:r>
      <w:r w:rsidRPr="00002B5F">
        <w:rPr>
          <w:rFonts w:ascii="Bookman Old Style" w:hAnsi="Bookman Old Style"/>
          <w:sz w:val="26"/>
          <w:szCs w:val="26"/>
        </w:rPr>
        <w:t>Restatement (Second) of Torts § 766</w:t>
      </w:r>
      <w:r w:rsidR="008B480B">
        <w:rPr>
          <w:rFonts w:ascii="Bookman Old Style" w:hAnsi="Bookman Old Style"/>
          <w:sz w:val="26"/>
          <w:szCs w:val="26"/>
        </w:rPr>
        <w:t xml:space="preserve"> </w:t>
      </w:r>
      <w:r w:rsidR="008B480B" w:rsidRPr="00002B5F">
        <w:rPr>
          <w:rFonts w:ascii="Bookman Old Style" w:hAnsi="Bookman Old Style"/>
          <w:sz w:val="26"/>
          <w:szCs w:val="26"/>
        </w:rPr>
        <w:t>comment</w:t>
      </w:r>
      <w:r w:rsidR="008B480B">
        <w:rPr>
          <w:rFonts w:ascii="Bookman Old Style" w:hAnsi="Bookman Old Style"/>
          <w:sz w:val="26"/>
          <w:szCs w:val="26"/>
        </w:rPr>
        <w:t>s</w:t>
      </w:r>
      <w:r w:rsidR="008B480B" w:rsidRPr="00002B5F">
        <w:rPr>
          <w:rFonts w:ascii="Bookman Old Style" w:hAnsi="Bookman Old Style"/>
          <w:sz w:val="26"/>
          <w:szCs w:val="26"/>
        </w:rPr>
        <w:t xml:space="preserve"> h</w:t>
      </w:r>
      <w:r w:rsidR="008D5236">
        <w:rPr>
          <w:rFonts w:ascii="Bookman Old Style" w:hAnsi="Bookman Old Style"/>
          <w:sz w:val="26"/>
          <w:szCs w:val="26"/>
        </w:rPr>
        <w:t xml:space="preserve"> and j </w:t>
      </w:r>
      <w:r w:rsidR="002F67BF">
        <w:rPr>
          <w:rFonts w:ascii="Bookman Old Style" w:hAnsi="Bookman Old Style"/>
          <w:sz w:val="26"/>
          <w:szCs w:val="26"/>
        </w:rPr>
        <w:t xml:space="preserve">also </w:t>
      </w:r>
      <w:r w:rsidR="008D5236">
        <w:rPr>
          <w:rFonts w:ascii="Bookman Old Style" w:hAnsi="Bookman Old Style"/>
          <w:sz w:val="26"/>
          <w:szCs w:val="26"/>
        </w:rPr>
        <w:t>indicate</w:t>
      </w:r>
      <w:r w:rsidR="008B480B">
        <w:rPr>
          <w:rFonts w:ascii="Bookman Old Style" w:hAnsi="Bookman Old Style"/>
          <w:sz w:val="26"/>
          <w:szCs w:val="26"/>
        </w:rPr>
        <w:t xml:space="preserve"> </w:t>
      </w:r>
      <w:r w:rsidR="008B480B" w:rsidRPr="008B480B">
        <w:rPr>
          <w:rFonts w:ascii="Bookman Old Style" w:hAnsi="Bookman Old Style"/>
          <w:sz w:val="26"/>
          <w:szCs w:val="26"/>
        </w:rPr>
        <w:t>that the tort</w:t>
      </w:r>
      <w:r w:rsidR="008B480B">
        <w:rPr>
          <w:rFonts w:ascii="Bookman Old Style" w:hAnsi="Bookman Old Style"/>
          <w:sz w:val="26"/>
          <w:szCs w:val="26"/>
        </w:rPr>
        <w:t xml:space="preserve"> applies to </w:t>
      </w:r>
      <w:r w:rsidR="008B480B" w:rsidRPr="008B480B">
        <w:rPr>
          <w:rFonts w:ascii="Bookman Old Style" w:hAnsi="Bookman Old Style"/>
          <w:sz w:val="26"/>
          <w:szCs w:val="26"/>
        </w:rPr>
        <w:t>acts other than "inducements," including violence and fraud which interfere with a person</w:t>
      </w:r>
      <w:r w:rsidR="00EB7540">
        <w:rPr>
          <w:rFonts w:ascii="Bookman Old Style" w:hAnsi="Bookman Old Style"/>
          <w:sz w:val="26"/>
          <w:szCs w:val="26"/>
        </w:rPr>
        <w:t>’s</w:t>
      </w:r>
      <w:r w:rsidR="008B480B" w:rsidRPr="008B480B">
        <w:rPr>
          <w:rFonts w:ascii="Bookman Old Style" w:hAnsi="Bookman Old Style"/>
          <w:sz w:val="26"/>
          <w:szCs w:val="26"/>
        </w:rPr>
        <w:t xml:space="preserve"> perform</w:t>
      </w:r>
      <w:r w:rsidR="00EB7540">
        <w:rPr>
          <w:rFonts w:ascii="Bookman Old Style" w:hAnsi="Bookman Old Style"/>
          <w:sz w:val="26"/>
          <w:szCs w:val="26"/>
        </w:rPr>
        <w:t>ance of</w:t>
      </w:r>
      <w:r w:rsidR="008B480B" w:rsidRPr="008B480B">
        <w:rPr>
          <w:rFonts w:ascii="Bookman Old Style" w:hAnsi="Bookman Old Style"/>
          <w:sz w:val="26"/>
          <w:szCs w:val="26"/>
        </w:rPr>
        <w:t xml:space="preserve"> a contract.</w:t>
      </w:r>
      <w:r w:rsidRPr="00002B5F">
        <w:rPr>
          <w:rFonts w:ascii="Bookman Old Style" w:hAnsi="Bookman Old Style"/>
          <w:sz w:val="26"/>
          <w:szCs w:val="26"/>
        </w:rPr>
        <w:t xml:space="preserve"> </w:t>
      </w:r>
      <w:r w:rsidR="000E503B">
        <w:rPr>
          <w:rFonts w:ascii="Bookman Old Style" w:hAnsi="Bookman Old Style"/>
          <w:sz w:val="26"/>
          <w:szCs w:val="26"/>
        </w:rPr>
        <w:t xml:space="preserve"> </w:t>
      </w:r>
      <w:r w:rsidR="00051FCE">
        <w:rPr>
          <w:rFonts w:ascii="Bookman Old Style" w:hAnsi="Bookman Old Style"/>
          <w:sz w:val="26"/>
          <w:szCs w:val="26"/>
        </w:rPr>
        <w:t xml:space="preserve">Section 766 </w:t>
      </w:r>
      <w:r w:rsidR="007F798D">
        <w:rPr>
          <w:rFonts w:ascii="Bookman Old Style" w:hAnsi="Bookman Old Style"/>
          <w:sz w:val="26"/>
          <w:szCs w:val="26"/>
        </w:rPr>
        <w:t xml:space="preserve">also </w:t>
      </w:r>
      <w:r w:rsidR="00051FCE">
        <w:rPr>
          <w:rFonts w:ascii="Bookman Old Style" w:hAnsi="Bookman Old Style"/>
          <w:sz w:val="26"/>
          <w:szCs w:val="26"/>
        </w:rPr>
        <w:t xml:space="preserve">discusses </w:t>
      </w:r>
      <w:r w:rsidRPr="00002B5F">
        <w:rPr>
          <w:rFonts w:ascii="Bookman Old Style" w:hAnsi="Bookman Old Style"/>
          <w:sz w:val="26"/>
          <w:szCs w:val="26"/>
        </w:rPr>
        <w:t xml:space="preserve">four categories of acts which will satisfy the requirement: (1) "causing (name of third party) not to keep his or her part of the agreement;" (2) "preventing the plaintiff from keeping the plaintiff's part of the agreement;" (3) "making it more difficult or expensive for the plaintiff to keep the plaintiff's part of the agreement;" or (4) "causing (name of third party) to terminate the agreement." </w:t>
      </w:r>
      <w:r w:rsidR="000E503B">
        <w:rPr>
          <w:rFonts w:ascii="Bookman Old Style" w:hAnsi="Bookman Old Style"/>
          <w:sz w:val="26"/>
          <w:szCs w:val="26"/>
        </w:rPr>
        <w:t xml:space="preserve"> </w:t>
      </w:r>
      <w:r w:rsidRPr="005529CD">
        <w:rPr>
          <w:rFonts w:ascii="Bookman Old Style" w:hAnsi="Bookman Old Style"/>
          <w:i/>
          <w:sz w:val="26"/>
          <w:szCs w:val="26"/>
        </w:rPr>
        <w:t>See</w:t>
      </w:r>
      <w:r w:rsidR="00D00F3C">
        <w:rPr>
          <w:rFonts w:ascii="Bookman Old Style" w:hAnsi="Bookman Old Style"/>
          <w:sz w:val="26"/>
          <w:szCs w:val="26"/>
        </w:rPr>
        <w:t xml:space="preserve"> </w:t>
      </w:r>
      <w:r w:rsidRPr="00002B5F">
        <w:rPr>
          <w:rFonts w:ascii="Bookman Old Style" w:hAnsi="Bookman Old Style"/>
          <w:sz w:val="26"/>
          <w:szCs w:val="26"/>
        </w:rPr>
        <w:t xml:space="preserve">Restatement (Second) of Torts § 766 comments h, i, k, 1 </w:t>
      </w:r>
      <w:r w:rsidR="008615AC">
        <w:rPr>
          <w:rFonts w:ascii="Bookman Old Style" w:hAnsi="Bookman Old Style"/>
          <w:sz w:val="26"/>
          <w:szCs w:val="26"/>
        </w:rPr>
        <w:t>and</w:t>
      </w:r>
      <w:r w:rsidRPr="00002B5F">
        <w:rPr>
          <w:rFonts w:ascii="Bookman Old Style" w:hAnsi="Bookman Old Style"/>
          <w:sz w:val="26"/>
          <w:szCs w:val="26"/>
        </w:rPr>
        <w:t xml:space="preserve"> m</w:t>
      </w:r>
      <w:r w:rsidR="007244A2">
        <w:rPr>
          <w:rFonts w:ascii="Bookman Old Style" w:hAnsi="Bookman Old Style"/>
          <w:sz w:val="26"/>
          <w:szCs w:val="26"/>
        </w:rPr>
        <w:t>;</w:t>
      </w:r>
      <w:r w:rsidRPr="00002B5F">
        <w:rPr>
          <w:rFonts w:ascii="Bookman Old Style" w:hAnsi="Bookman Old Style"/>
          <w:sz w:val="26"/>
          <w:szCs w:val="26"/>
        </w:rPr>
        <w:t xml:space="preserve"> </w:t>
      </w:r>
      <w:r w:rsidR="00083AC5" w:rsidRPr="00083AC5">
        <w:rPr>
          <w:rFonts w:ascii="Bookman Old Style" w:hAnsi="Bookman Old Style"/>
          <w:sz w:val="26"/>
          <w:szCs w:val="26"/>
        </w:rPr>
        <w:t>§</w:t>
      </w:r>
      <w:r w:rsidRPr="00002B5F">
        <w:rPr>
          <w:rFonts w:ascii="Bookman Old Style" w:hAnsi="Bookman Old Style"/>
          <w:sz w:val="26"/>
          <w:szCs w:val="26"/>
        </w:rPr>
        <w:t xml:space="preserve"> 766A comment g.</w:t>
      </w:r>
    </w:p>
    <w:p w:rsidR="00F15D54" w:rsidRDefault="00F15D54" w:rsidP="00C13E10">
      <w:pPr>
        <w:jc w:val="both"/>
        <w:rPr>
          <w:rFonts w:ascii="Bookman Old Style" w:hAnsi="Bookman Old Style"/>
          <w:sz w:val="26"/>
          <w:szCs w:val="26"/>
        </w:rPr>
      </w:pPr>
    </w:p>
    <w:p w:rsidR="00E05188" w:rsidRPr="005529CD" w:rsidRDefault="00F15D54" w:rsidP="003D631B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With respect to</w:t>
      </w:r>
      <w:r w:rsidR="00283C90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t</w:t>
      </w:r>
      <w:r w:rsidR="00AC60B9" w:rsidRPr="005529CD">
        <w:rPr>
          <w:rFonts w:ascii="Bookman Old Style" w:hAnsi="Bookman Old Style"/>
          <w:sz w:val="26"/>
          <w:szCs w:val="26"/>
        </w:rPr>
        <w:t xml:space="preserve">he fourth </w:t>
      </w:r>
      <w:r w:rsidR="00AC60B9">
        <w:rPr>
          <w:rFonts w:ascii="Bookman Old Style" w:hAnsi="Bookman Old Style"/>
          <w:sz w:val="26"/>
          <w:szCs w:val="26"/>
        </w:rPr>
        <w:t xml:space="preserve">and fifth </w:t>
      </w:r>
      <w:r w:rsidR="00AC60B9" w:rsidRPr="005529CD">
        <w:rPr>
          <w:rFonts w:ascii="Bookman Old Style" w:hAnsi="Bookman Old Style"/>
          <w:sz w:val="26"/>
          <w:szCs w:val="26"/>
        </w:rPr>
        <w:t>element</w:t>
      </w:r>
      <w:r w:rsidR="00AC60B9">
        <w:rPr>
          <w:rFonts w:ascii="Bookman Old Style" w:hAnsi="Bookman Old Style"/>
          <w:sz w:val="26"/>
          <w:szCs w:val="26"/>
        </w:rPr>
        <w:t>s,</w:t>
      </w:r>
      <w:r w:rsidR="00AC60B9" w:rsidRPr="005529CD">
        <w:rPr>
          <w:rFonts w:ascii="Bookman Old Style" w:hAnsi="Bookman Old Style"/>
          <w:sz w:val="26"/>
          <w:szCs w:val="26"/>
        </w:rPr>
        <w:t xml:space="preserve"> </w:t>
      </w:r>
      <w:r w:rsidR="00422702">
        <w:rPr>
          <w:rFonts w:ascii="Bookman Old Style" w:hAnsi="Bookman Old Style"/>
          <w:sz w:val="26"/>
          <w:szCs w:val="26"/>
        </w:rPr>
        <w:t xml:space="preserve">the </w:t>
      </w:r>
      <w:r w:rsidR="00E05188" w:rsidRPr="005529CD">
        <w:rPr>
          <w:rFonts w:ascii="Bookman Old Style" w:hAnsi="Bookman Old Style"/>
          <w:sz w:val="26"/>
          <w:szCs w:val="26"/>
        </w:rPr>
        <w:t xml:space="preserve">defendant's interference must be a "material and substantial" cause of the breach. </w:t>
      </w:r>
      <w:r w:rsidR="00283C90" w:rsidRPr="005529CD">
        <w:rPr>
          <w:rFonts w:ascii="Bookman Old Style" w:hAnsi="Bookman Old Style"/>
          <w:sz w:val="26"/>
          <w:szCs w:val="26"/>
        </w:rPr>
        <w:t xml:space="preserve"> </w:t>
      </w:r>
      <w:r w:rsidR="00EB7540">
        <w:rPr>
          <w:rFonts w:ascii="Bookman Old Style" w:hAnsi="Bookman Old Style"/>
          <w:i/>
          <w:sz w:val="26"/>
          <w:szCs w:val="26"/>
        </w:rPr>
        <w:t>See, e</w:t>
      </w:r>
      <w:r w:rsidR="002F67BF" w:rsidRPr="00FB1FCD">
        <w:rPr>
          <w:rFonts w:ascii="Bookman Old Style" w:hAnsi="Bookman Old Style"/>
          <w:i/>
          <w:sz w:val="26"/>
          <w:szCs w:val="26"/>
        </w:rPr>
        <w:t>.g.</w:t>
      </w:r>
      <w:r w:rsidR="002F67BF">
        <w:rPr>
          <w:rFonts w:ascii="Bookman Old Style" w:hAnsi="Bookman Old Style"/>
          <w:sz w:val="26"/>
          <w:szCs w:val="26"/>
        </w:rPr>
        <w:t xml:space="preserve">, </w:t>
      </w:r>
      <w:r w:rsidR="007B5C5B" w:rsidRPr="005501A5">
        <w:rPr>
          <w:rFonts w:ascii="Bookman Old Style" w:hAnsi="Bookman Old Style" w:cs="Bookman Old Style"/>
          <w:i/>
          <w:snapToGrid w:val="0"/>
          <w:sz w:val="26"/>
          <w:szCs w:val="26"/>
        </w:rPr>
        <w:t>Long</w:t>
      </w:r>
      <w:r w:rsidR="007B5C5B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 v. Newby</w:t>
      </w:r>
      <w:r w:rsidR="007B5C5B">
        <w:rPr>
          <w:rFonts w:ascii="Bookman Old Style" w:hAnsi="Bookman Old Style" w:cs="Bookman Old Style"/>
          <w:snapToGrid w:val="0"/>
          <w:sz w:val="26"/>
          <w:szCs w:val="26"/>
        </w:rPr>
        <w:t>, 488 P</w:t>
      </w:r>
      <w:r w:rsidR="007B5C5B" w:rsidRPr="00936FDF">
        <w:rPr>
          <w:rFonts w:ascii="Bookman Old Style" w:hAnsi="Bookman Old Style" w:cs="Bookman Old Style"/>
          <w:snapToGrid w:val="0"/>
          <w:sz w:val="26"/>
          <w:szCs w:val="26"/>
        </w:rPr>
        <w:t>.</w:t>
      </w:r>
      <w:r w:rsidR="007B5C5B">
        <w:rPr>
          <w:rFonts w:ascii="Bookman Old Style" w:hAnsi="Bookman Old Style" w:cs="Bookman Old Style"/>
          <w:snapToGrid w:val="0"/>
          <w:sz w:val="26"/>
          <w:szCs w:val="26"/>
        </w:rPr>
        <w:t>2d 719, 723 (</w:t>
      </w:r>
      <w:smartTag w:uri="urn:schemas-microsoft-com:office:smarttags" w:element="place">
        <w:smartTag w:uri="urn:schemas-microsoft-com:office:smarttags" w:element="State">
          <w:r w:rsidR="007B5C5B">
            <w:rPr>
              <w:rFonts w:ascii="Bookman Old Style" w:hAnsi="Bookman Old Style" w:cs="Bookman Old Style"/>
              <w:snapToGrid w:val="0"/>
              <w:sz w:val="26"/>
              <w:szCs w:val="26"/>
            </w:rPr>
            <w:t>Alaska</w:t>
          </w:r>
        </w:smartTag>
      </w:smartTag>
      <w:r w:rsidR="007B5C5B">
        <w:rPr>
          <w:rFonts w:ascii="Bookman Old Style" w:hAnsi="Bookman Old Style" w:cs="Bookman Old Style"/>
          <w:snapToGrid w:val="0"/>
          <w:sz w:val="26"/>
          <w:szCs w:val="26"/>
        </w:rPr>
        <w:t xml:space="preserve"> 1971).</w:t>
      </w:r>
      <w:r w:rsidR="00A56184">
        <w:rPr>
          <w:rFonts w:ascii="Bookman Old Style" w:hAnsi="Bookman Old Style"/>
          <w:sz w:val="26"/>
          <w:szCs w:val="26"/>
        </w:rPr>
        <w:t xml:space="preserve"> </w:t>
      </w:r>
      <w:r w:rsidR="006E0729">
        <w:rPr>
          <w:rFonts w:ascii="Bookman Old Style" w:hAnsi="Bookman Old Style"/>
          <w:sz w:val="26"/>
          <w:szCs w:val="26"/>
        </w:rPr>
        <w:t xml:space="preserve"> </w:t>
      </w:r>
      <w:r w:rsidR="00E05188" w:rsidRPr="005529CD">
        <w:rPr>
          <w:rFonts w:ascii="Bookman Old Style" w:hAnsi="Bookman Old Style"/>
          <w:sz w:val="26"/>
          <w:szCs w:val="26"/>
        </w:rPr>
        <w:t xml:space="preserve">The plaintiff must introduce evidence that the defendant did more than merely "influence" a breach. </w:t>
      </w:r>
      <w:r w:rsidR="00FD3EA8">
        <w:rPr>
          <w:rFonts w:ascii="Bookman Old Style" w:hAnsi="Bookman Old Style"/>
          <w:sz w:val="26"/>
          <w:szCs w:val="26"/>
        </w:rPr>
        <w:t xml:space="preserve"> </w:t>
      </w:r>
      <w:r w:rsidR="007B5C5B" w:rsidRPr="005529CD">
        <w:rPr>
          <w:rFonts w:ascii="Bookman Old Style" w:hAnsi="Bookman Old Style"/>
          <w:i/>
          <w:sz w:val="26"/>
          <w:szCs w:val="26"/>
        </w:rPr>
        <w:t>Knight</w:t>
      </w:r>
      <w:r w:rsidR="007B5C5B">
        <w:rPr>
          <w:rFonts w:ascii="Bookman Old Style" w:hAnsi="Bookman Old Style"/>
          <w:i/>
          <w:sz w:val="26"/>
          <w:szCs w:val="26"/>
        </w:rPr>
        <w:t>,</w:t>
      </w:r>
      <w:r w:rsidR="007B5C5B" w:rsidRPr="005529CD">
        <w:rPr>
          <w:rFonts w:ascii="Bookman Old Style" w:hAnsi="Bookman Old Style"/>
          <w:sz w:val="26"/>
          <w:szCs w:val="26"/>
        </w:rPr>
        <w:t xml:space="preserve"> </w:t>
      </w:r>
      <w:r w:rsidR="007B5C5B" w:rsidRPr="00002B5F">
        <w:rPr>
          <w:rFonts w:ascii="Bookman Old Style" w:hAnsi="Bookman Old Style"/>
          <w:sz w:val="26"/>
          <w:szCs w:val="26"/>
        </w:rPr>
        <w:t>714</w:t>
      </w:r>
      <w:r w:rsidR="007B5C5B">
        <w:rPr>
          <w:rFonts w:ascii="Bookman Old Style" w:hAnsi="Bookman Old Style"/>
          <w:sz w:val="26"/>
          <w:szCs w:val="26"/>
        </w:rPr>
        <w:t xml:space="preserve"> </w:t>
      </w:r>
      <w:r w:rsidR="007B5C5B" w:rsidRPr="00002B5F">
        <w:rPr>
          <w:rFonts w:ascii="Bookman Old Style" w:hAnsi="Bookman Old Style"/>
          <w:sz w:val="26"/>
          <w:szCs w:val="26"/>
        </w:rPr>
        <w:t>P.2d</w:t>
      </w:r>
      <w:r w:rsidR="007B5C5B">
        <w:rPr>
          <w:rFonts w:ascii="Bookman Old Style" w:hAnsi="Bookman Old Style"/>
          <w:sz w:val="26"/>
          <w:szCs w:val="26"/>
        </w:rPr>
        <w:t xml:space="preserve"> </w:t>
      </w:r>
      <w:r w:rsidR="007B5C5B" w:rsidRPr="00002B5F">
        <w:rPr>
          <w:rFonts w:ascii="Bookman Old Style" w:hAnsi="Bookman Old Style"/>
          <w:sz w:val="26"/>
          <w:szCs w:val="26"/>
        </w:rPr>
        <w:t>at</w:t>
      </w:r>
      <w:r w:rsidR="007B5C5B">
        <w:rPr>
          <w:rFonts w:ascii="Bookman Old Style" w:hAnsi="Bookman Old Style"/>
          <w:sz w:val="26"/>
          <w:szCs w:val="26"/>
        </w:rPr>
        <w:t xml:space="preserve"> </w:t>
      </w:r>
      <w:r w:rsidR="007B5C5B" w:rsidRPr="00002B5F">
        <w:rPr>
          <w:rFonts w:ascii="Bookman Old Style" w:hAnsi="Bookman Old Style"/>
          <w:sz w:val="26"/>
          <w:szCs w:val="26"/>
        </w:rPr>
        <w:t>794.</w:t>
      </w:r>
      <w:r w:rsidR="007B5C5B">
        <w:rPr>
          <w:rFonts w:ascii="Bookman Old Style" w:hAnsi="Bookman Old Style"/>
          <w:sz w:val="26"/>
          <w:szCs w:val="26"/>
        </w:rPr>
        <w:t xml:space="preserve">  </w:t>
      </w:r>
      <w:r w:rsidR="00A56184">
        <w:rPr>
          <w:rFonts w:ascii="Bookman Old Style" w:hAnsi="Bookman Old Style"/>
          <w:i/>
          <w:sz w:val="26"/>
          <w:szCs w:val="26"/>
        </w:rPr>
        <w:t xml:space="preserve"> </w:t>
      </w:r>
    </w:p>
    <w:p w:rsidR="00E05188" w:rsidRDefault="00E05188" w:rsidP="003D631B">
      <w:pPr>
        <w:jc w:val="both"/>
        <w:rPr>
          <w:rFonts w:ascii="Bookman Old Style" w:hAnsi="Bookman Old Style"/>
          <w:sz w:val="26"/>
          <w:szCs w:val="26"/>
        </w:rPr>
      </w:pPr>
    </w:p>
    <w:p w:rsidR="00CE7B28" w:rsidRPr="00CE7B28" w:rsidRDefault="00CE7B28" w:rsidP="00CE7B28">
      <w:pPr>
        <w:jc w:val="both"/>
        <w:rPr>
          <w:rFonts w:ascii="Bookman Old Style" w:hAnsi="Bookman Old Style"/>
          <w:sz w:val="26"/>
          <w:szCs w:val="26"/>
        </w:rPr>
      </w:pPr>
      <w:r w:rsidRPr="00CE7B28">
        <w:rPr>
          <w:rFonts w:ascii="Bookman Old Style" w:hAnsi="Bookman Old Style"/>
          <w:sz w:val="26"/>
          <w:szCs w:val="26"/>
        </w:rPr>
        <w:t>Regarding the fifth element</w:t>
      </w:r>
      <w:r>
        <w:rPr>
          <w:rFonts w:ascii="Bookman Old Style" w:hAnsi="Bookman Old Style"/>
          <w:sz w:val="26"/>
          <w:szCs w:val="26"/>
        </w:rPr>
        <w:t>,</w:t>
      </w:r>
      <w:r w:rsidRPr="00CE7B28">
        <w:rPr>
          <w:rFonts w:ascii="Bookman Old Style" w:hAnsi="Bookman Old Style"/>
          <w:sz w:val="26"/>
          <w:szCs w:val="26"/>
        </w:rPr>
        <w:t xml:space="preserve"> </w:t>
      </w:r>
      <w:r w:rsidR="00B83466">
        <w:rPr>
          <w:rFonts w:ascii="Bookman Old Style" w:hAnsi="Bookman Old Style"/>
          <w:sz w:val="26"/>
          <w:szCs w:val="26"/>
        </w:rPr>
        <w:t xml:space="preserve">most Alaska </w:t>
      </w:r>
      <w:r w:rsidRPr="00FB1FCD">
        <w:rPr>
          <w:rFonts w:ascii="Bookman Old Style" w:hAnsi="Bookman Old Style"/>
          <w:sz w:val="26"/>
          <w:szCs w:val="26"/>
        </w:rPr>
        <w:t>decisions include wrongful conduct in the causation element.</w:t>
      </w:r>
      <w:r w:rsidR="00D96C52">
        <w:rPr>
          <w:rFonts w:ascii="Bookman Old Style" w:hAnsi="Bookman Old Style"/>
          <w:sz w:val="26"/>
          <w:szCs w:val="26"/>
        </w:rPr>
        <w:t xml:space="preserve"> </w:t>
      </w:r>
      <w:r w:rsidR="00FD3EA8">
        <w:rPr>
          <w:rFonts w:ascii="Bookman Old Style" w:hAnsi="Bookman Old Style"/>
          <w:sz w:val="26"/>
          <w:szCs w:val="26"/>
        </w:rPr>
        <w:t xml:space="preserve"> </w:t>
      </w:r>
      <w:r w:rsidR="00D96C52">
        <w:rPr>
          <w:rFonts w:ascii="Bookman Old Style" w:hAnsi="Bookman Old Style"/>
          <w:i/>
          <w:sz w:val="26"/>
          <w:szCs w:val="26"/>
        </w:rPr>
        <w:t xml:space="preserve">See, </w:t>
      </w:r>
      <w:r w:rsidR="00EB7540" w:rsidRPr="00EB7540">
        <w:rPr>
          <w:rFonts w:ascii="Bookman Old Style" w:hAnsi="Bookman Old Style"/>
          <w:i/>
          <w:sz w:val="26"/>
          <w:szCs w:val="26"/>
        </w:rPr>
        <w:t>e</w:t>
      </w:r>
      <w:r w:rsidRPr="00EB7540">
        <w:rPr>
          <w:rFonts w:ascii="Bookman Old Style" w:hAnsi="Bookman Old Style"/>
          <w:i/>
          <w:sz w:val="26"/>
          <w:szCs w:val="26"/>
        </w:rPr>
        <w:t>.g.</w:t>
      </w:r>
      <w:r>
        <w:rPr>
          <w:rFonts w:ascii="Bookman Old Style" w:hAnsi="Bookman Old Style"/>
          <w:sz w:val="26"/>
          <w:szCs w:val="26"/>
        </w:rPr>
        <w:t xml:space="preserve">, </w:t>
      </w:r>
      <w:r w:rsidRPr="00CE7B28">
        <w:rPr>
          <w:rFonts w:ascii="Bookman Old Style" w:hAnsi="Bookman Old Style"/>
          <w:i/>
          <w:sz w:val="26"/>
          <w:szCs w:val="26"/>
        </w:rPr>
        <w:t>Odom</w:t>
      </w:r>
      <w:r w:rsidRPr="00FB1FCD">
        <w:rPr>
          <w:rFonts w:ascii="Bookman Old Style" w:hAnsi="Bookman Old Style"/>
          <w:sz w:val="26"/>
          <w:szCs w:val="26"/>
        </w:rPr>
        <w:t xml:space="preserve"> 999 P.2d </w:t>
      </w:r>
      <w:r w:rsidR="00604030">
        <w:rPr>
          <w:rFonts w:ascii="Bookman Old Style" w:hAnsi="Bookman Old Style"/>
          <w:sz w:val="26"/>
          <w:szCs w:val="26"/>
        </w:rPr>
        <w:t xml:space="preserve">at </w:t>
      </w:r>
      <w:r>
        <w:rPr>
          <w:rFonts w:ascii="Bookman Old Style" w:hAnsi="Bookman Old Style"/>
          <w:sz w:val="26"/>
          <w:szCs w:val="26"/>
        </w:rPr>
        <w:t>761</w:t>
      </w:r>
      <w:r w:rsidR="00903BBB">
        <w:rPr>
          <w:rFonts w:ascii="Bookman Old Style" w:hAnsi="Bookman Old Style"/>
          <w:sz w:val="26"/>
          <w:szCs w:val="26"/>
        </w:rPr>
        <w:t>(“[plain</w:t>
      </w:r>
      <w:r w:rsidR="00EB7540">
        <w:rPr>
          <w:rFonts w:ascii="Bookman Old Style" w:hAnsi="Bookman Old Style"/>
          <w:sz w:val="26"/>
          <w:szCs w:val="26"/>
        </w:rPr>
        <w:t>t</w:t>
      </w:r>
      <w:r w:rsidR="00903BBB">
        <w:rPr>
          <w:rFonts w:ascii="Bookman Old Style" w:hAnsi="Bookman Old Style"/>
          <w:sz w:val="26"/>
          <w:szCs w:val="26"/>
        </w:rPr>
        <w:t xml:space="preserve">iff] must show: . . .  </w:t>
      </w:r>
      <w:r w:rsidR="00903BBB" w:rsidRPr="00903BBB">
        <w:rPr>
          <w:rFonts w:ascii="Bookman Old Style" w:hAnsi="Bookman Old Style"/>
          <w:sz w:val="26"/>
          <w:szCs w:val="26"/>
        </w:rPr>
        <w:t xml:space="preserve">wrongful conduct of the Defendant </w:t>
      </w:r>
      <w:r w:rsidR="00903BBB">
        <w:rPr>
          <w:rFonts w:ascii="Bookman Old Style" w:hAnsi="Bookman Old Style"/>
          <w:sz w:val="26"/>
          <w:szCs w:val="26"/>
        </w:rPr>
        <w:t>. . .</w:t>
      </w:r>
      <w:r w:rsidR="00903BBB" w:rsidRPr="00903BBB">
        <w:rPr>
          <w:rFonts w:ascii="Bookman Old Style" w:hAnsi="Bookman Old Style"/>
          <w:sz w:val="26"/>
          <w:szCs w:val="26"/>
        </w:rPr>
        <w:t xml:space="preserve"> which caused the breach</w:t>
      </w:r>
      <w:r w:rsidR="00903BBB">
        <w:rPr>
          <w:rFonts w:ascii="Bookman Old Style" w:hAnsi="Bookman Old Style"/>
          <w:sz w:val="26"/>
          <w:szCs w:val="26"/>
        </w:rPr>
        <w:t>”).</w:t>
      </w:r>
      <w:r w:rsidRPr="00FB1FCD">
        <w:rPr>
          <w:rFonts w:ascii="Bookman Old Style" w:hAnsi="Bookman Old Style"/>
          <w:sz w:val="26"/>
          <w:szCs w:val="26"/>
        </w:rPr>
        <w:t xml:space="preserve"> </w:t>
      </w:r>
      <w:r w:rsidR="0056027A">
        <w:rPr>
          <w:rFonts w:ascii="Bookman Old Style" w:hAnsi="Bookman Old Style"/>
          <w:sz w:val="26"/>
          <w:szCs w:val="26"/>
        </w:rPr>
        <w:t xml:space="preserve"> But </w:t>
      </w:r>
      <w:r w:rsidR="00474224">
        <w:rPr>
          <w:rFonts w:ascii="Bookman Old Style" w:hAnsi="Bookman Old Style"/>
          <w:sz w:val="26"/>
          <w:szCs w:val="26"/>
        </w:rPr>
        <w:t>in the past</w:t>
      </w:r>
      <w:r w:rsidR="001A6A5E">
        <w:rPr>
          <w:rFonts w:ascii="Bookman Old Style" w:hAnsi="Bookman Old Style"/>
          <w:sz w:val="26"/>
          <w:szCs w:val="26"/>
        </w:rPr>
        <w:t>,</w:t>
      </w:r>
      <w:r w:rsidR="00474224">
        <w:rPr>
          <w:rFonts w:ascii="Bookman Old Style" w:hAnsi="Bookman Old Style"/>
          <w:sz w:val="26"/>
          <w:szCs w:val="26"/>
        </w:rPr>
        <w:t xml:space="preserve"> </w:t>
      </w:r>
      <w:r w:rsidR="00EB7540">
        <w:rPr>
          <w:rFonts w:ascii="Bookman Old Style" w:hAnsi="Bookman Old Style"/>
          <w:sz w:val="26"/>
          <w:szCs w:val="26"/>
        </w:rPr>
        <w:t>“</w:t>
      </w:r>
      <w:r w:rsidR="00474224">
        <w:rPr>
          <w:rFonts w:ascii="Bookman Old Style" w:hAnsi="Bookman Old Style"/>
          <w:sz w:val="26"/>
          <w:szCs w:val="26"/>
        </w:rPr>
        <w:t>wrongful</w:t>
      </w:r>
      <w:r w:rsidR="00EB7540">
        <w:rPr>
          <w:rFonts w:ascii="Bookman Old Style" w:hAnsi="Bookman Old Style"/>
          <w:sz w:val="26"/>
          <w:szCs w:val="26"/>
        </w:rPr>
        <w:t>”</w:t>
      </w:r>
      <w:r w:rsidR="00474224">
        <w:rPr>
          <w:rFonts w:ascii="Bookman Old Style" w:hAnsi="Bookman Old Style"/>
          <w:sz w:val="26"/>
          <w:szCs w:val="26"/>
        </w:rPr>
        <w:t xml:space="preserve"> has been equated with whether the interference was justified</w:t>
      </w:r>
      <w:r w:rsidR="001A6A5E">
        <w:rPr>
          <w:rFonts w:ascii="Bookman Old Style" w:hAnsi="Bookman Old Style"/>
          <w:sz w:val="26"/>
          <w:szCs w:val="26"/>
        </w:rPr>
        <w:t xml:space="preserve">. </w:t>
      </w:r>
      <w:r w:rsidR="00FD3EA8">
        <w:rPr>
          <w:rFonts w:ascii="Bookman Old Style" w:hAnsi="Bookman Old Style"/>
          <w:sz w:val="26"/>
          <w:szCs w:val="26"/>
        </w:rPr>
        <w:t xml:space="preserve"> </w:t>
      </w:r>
      <w:r w:rsidR="00474224" w:rsidRPr="00FB1FCD">
        <w:rPr>
          <w:rFonts w:ascii="Bookman Old Style" w:hAnsi="Bookman Old Style"/>
          <w:i/>
          <w:sz w:val="26"/>
          <w:szCs w:val="26"/>
        </w:rPr>
        <w:t>See</w:t>
      </w:r>
      <w:r w:rsidR="0056027A">
        <w:rPr>
          <w:rFonts w:ascii="Bookman Old Style" w:hAnsi="Bookman Old Style"/>
          <w:sz w:val="26"/>
          <w:szCs w:val="26"/>
        </w:rPr>
        <w:t xml:space="preserve"> </w:t>
      </w:r>
      <w:r w:rsidR="0056027A" w:rsidRPr="005501A5">
        <w:rPr>
          <w:rFonts w:ascii="Bookman Old Style" w:hAnsi="Bookman Old Style" w:cs="Bookman Old Style"/>
          <w:i/>
          <w:snapToGrid w:val="0"/>
          <w:sz w:val="26"/>
          <w:szCs w:val="26"/>
        </w:rPr>
        <w:t>Bendix</w:t>
      </w:r>
      <w:r w:rsidR="0056027A" w:rsidRPr="002E3024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 Corp. v. Adams</w:t>
      </w:r>
      <w:r w:rsidR="0056027A">
        <w:rPr>
          <w:rFonts w:ascii="Bookman Old Style" w:hAnsi="Bookman Old Style" w:cs="Bookman Old Style"/>
          <w:snapToGrid w:val="0"/>
          <w:sz w:val="26"/>
          <w:szCs w:val="26"/>
        </w:rPr>
        <w:t xml:space="preserve">, </w:t>
      </w:r>
      <w:r w:rsidR="0056027A" w:rsidRPr="00936FDF">
        <w:rPr>
          <w:rFonts w:ascii="Bookman Old Style" w:hAnsi="Bookman Old Style" w:cs="Bookman Old Style"/>
          <w:snapToGrid w:val="0"/>
          <w:sz w:val="26"/>
          <w:szCs w:val="26"/>
        </w:rPr>
        <w:t>610 P.2d 24</w:t>
      </w:r>
      <w:r w:rsidR="0056027A">
        <w:rPr>
          <w:rFonts w:ascii="Bookman Old Style" w:hAnsi="Bookman Old Style" w:cs="Bookman Old Style"/>
          <w:snapToGrid w:val="0"/>
          <w:sz w:val="26"/>
          <w:szCs w:val="26"/>
        </w:rPr>
        <w:t>, 29 (Alaska 1980)</w:t>
      </w:r>
      <w:r w:rsidR="006E0729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56027A">
        <w:rPr>
          <w:rFonts w:ascii="Bookman Old Style" w:hAnsi="Bookman Old Style" w:cs="Bookman Old Style"/>
          <w:snapToGrid w:val="0"/>
          <w:sz w:val="26"/>
          <w:szCs w:val="26"/>
        </w:rPr>
        <w:t>(“</w:t>
      </w:r>
      <w:r w:rsidR="0056027A" w:rsidRPr="0056027A">
        <w:rPr>
          <w:rFonts w:ascii="Bookman Old Style" w:hAnsi="Bookman Old Style" w:cs="Bookman Old Style"/>
          <w:snapToGrid w:val="0"/>
          <w:sz w:val="26"/>
          <w:szCs w:val="26"/>
        </w:rPr>
        <w:t>the breach was caused by defendant's wrongful or unjustified conduct</w:t>
      </w:r>
      <w:r w:rsidR="0056027A">
        <w:rPr>
          <w:rFonts w:ascii="Bookman Old Style" w:hAnsi="Bookman Old Style" w:cs="Bookman Old Style"/>
          <w:snapToGrid w:val="0"/>
          <w:sz w:val="26"/>
          <w:szCs w:val="26"/>
        </w:rPr>
        <w:t>”).</w:t>
      </w:r>
      <w:r w:rsidR="00D96C52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FD3EA8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C44958">
        <w:rPr>
          <w:rFonts w:ascii="Bookman Old Style" w:hAnsi="Bookman Old Style" w:cs="Bookman Old Style"/>
          <w:snapToGrid w:val="0"/>
          <w:sz w:val="26"/>
          <w:szCs w:val="26"/>
        </w:rPr>
        <w:t>And i</w:t>
      </w:r>
      <w:r w:rsidR="001A6A5E">
        <w:rPr>
          <w:rFonts w:ascii="Bookman Old Style" w:hAnsi="Bookman Old Style" w:cs="Bookman Old Style"/>
          <w:snapToGrid w:val="0"/>
          <w:sz w:val="26"/>
          <w:szCs w:val="26"/>
        </w:rPr>
        <w:t xml:space="preserve">n </w:t>
      </w:r>
      <w:r w:rsidR="001A6A5E" w:rsidRPr="005529CD">
        <w:rPr>
          <w:rFonts w:ascii="Bookman Old Style" w:hAnsi="Bookman Old Style" w:cs="Bookman Old Style"/>
          <w:i/>
          <w:sz w:val="26"/>
          <w:szCs w:val="26"/>
        </w:rPr>
        <w:t>Kinzel</w:t>
      </w:r>
      <w:r w:rsidR="00C44958">
        <w:rPr>
          <w:rFonts w:ascii="Bookman Old Style" w:hAnsi="Bookman Old Style" w:cs="Bookman Old Style"/>
          <w:i/>
          <w:sz w:val="26"/>
          <w:szCs w:val="26"/>
        </w:rPr>
        <w:t>,</w:t>
      </w:r>
      <w:r w:rsidR="001A6A5E">
        <w:rPr>
          <w:rFonts w:ascii="Bookman Old Style" w:hAnsi="Bookman Old Style" w:cs="Bookman Old Style"/>
          <w:snapToGrid w:val="0"/>
          <w:sz w:val="26"/>
          <w:szCs w:val="26"/>
        </w:rPr>
        <w:t xml:space="preserve"> the court did not include wron</w:t>
      </w:r>
      <w:r w:rsidR="00D96C52">
        <w:rPr>
          <w:rFonts w:ascii="Bookman Old Style" w:hAnsi="Bookman Old Style" w:cs="Bookman Old Style"/>
          <w:snapToGrid w:val="0"/>
          <w:sz w:val="26"/>
          <w:szCs w:val="26"/>
        </w:rPr>
        <w:t xml:space="preserve">gful in the causation element. </w:t>
      </w:r>
      <w:r w:rsidR="00FD3EA8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Pr="005529CD">
        <w:rPr>
          <w:rFonts w:ascii="Bookman Old Style" w:hAnsi="Bookman Old Style" w:cs="Bookman Old Style"/>
          <w:sz w:val="26"/>
          <w:szCs w:val="26"/>
        </w:rPr>
        <w:t xml:space="preserve">93 P.3d </w:t>
      </w:r>
      <w:r>
        <w:rPr>
          <w:rFonts w:ascii="Bookman Old Style" w:hAnsi="Bookman Old Style" w:cs="Bookman Old Style"/>
          <w:sz w:val="26"/>
          <w:szCs w:val="26"/>
        </w:rPr>
        <w:t xml:space="preserve">at </w:t>
      </w:r>
      <w:r w:rsidRPr="005529CD">
        <w:rPr>
          <w:rFonts w:ascii="Bookman Old Style" w:hAnsi="Bookman Old Style" w:cs="Bookman Old Style"/>
          <w:sz w:val="26"/>
          <w:szCs w:val="26"/>
        </w:rPr>
        <w:t>443</w:t>
      </w:r>
      <w:r w:rsidR="00FD3EA8">
        <w:rPr>
          <w:rFonts w:ascii="Bookman Old Style" w:hAnsi="Bookman Old Style" w:cs="Bookman Old Style"/>
          <w:sz w:val="26"/>
          <w:szCs w:val="26"/>
        </w:rPr>
        <w:t xml:space="preserve"> </w:t>
      </w:r>
      <w:r w:rsidR="00722E61">
        <w:rPr>
          <w:rFonts w:ascii="Bookman Old Style" w:hAnsi="Bookman Old Style" w:cs="Bookman Old Style"/>
          <w:sz w:val="26"/>
          <w:szCs w:val="26"/>
        </w:rPr>
        <w:t>(“</w:t>
      </w:r>
      <w:r w:rsidR="00722E61" w:rsidRPr="00722E61">
        <w:rPr>
          <w:rFonts w:ascii="Bookman Old Style" w:hAnsi="Bookman Old Style" w:cs="Bookman Old Style"/>
          <w:sz w:val="26"/>
          <w:szCs w:val="26"/>
        </w:rPr>
        <w:t>the defendant's conduct was the cause of that breach</w:t>
      </w:r>
      <w:r w:rsidR="00722E61">
        <w:rPr>
          <w:rFonts w:ascii="Bookman Old Style" w:hAnsi="Bookman Old Style" w:cs="Bookman Old Style"/>
          <w:sz w:val="26"/>
          <w:szCs w:val="26"/>
        </w:rPr>
        <w:t>”)</w:t>
      </w:r>
      <w:r w:rsidR="00D96C52">
        <w:rPr>
          <w:rFonts w:ascii="Bookman Old Style" w:hAnsi="Bookman Old Style" w:cs="Bookman Old Style"/>
          <w:sz w:val="26"/>
          <w:szCs w:val="26"/>
        </w:rPr>
        <w:t>.</w:t>
      </w:r>
      <w:r w:rsidR="00FD3EA8">
        <w:rPr>
          <w:rFonts w:ascii="Bookman Old Style" w:hAnsi="Bookman Old Style" w:cs="Bookman Old Style"/>
          <w:sz w:val="26"/>
          <w:szCs w:val="26"/>
        </w:rPr>
        <w:t xml:space="preserve"> </w:t>
      </w:r>
      <w:r w:rsidR="004D5467">
        <w:rPr>
          <w:rFonts w:ascii="Bookman Old Style" w:hAnsi="Bookman Old Style" w:cs="Bookman Old Style"/>
          <w:sz w:val="26"/>
          <w:szCs w:val="26"/>
        </w:rPr>
        <w:t xml:space="preserve"> Instruction</w:t>
      </w:r>
      <w:r>
        <w:rPr>
          <w:rFonts w:ascii="Bookman Old Style" w:hAnsi="Bookman Old Style" w:cs="Bookman Old Style"/>
          <w:sz w:val="26"/>
          <w:szCs w:val="26"/>
        </w:rPr>
        <w:t xml:space="preserve"> </w:t>
      </w:r>
      <w:r w:rsidR="00283C90">
        <w:rPr>
          <w:rFonts w:ascii="Bookman Old Style" w:hAnsi="Bookman Old Style" w:cs="Bookman Old Style"/>
          <w:sz w:val="26"/>
          <w:szCs w:val="26"/>
        </w:rPr>
        <w:t>19</w:t>
      </w:r>
      <w:r w:rsidR="00480851">
        <w:rPr>
          <w:rFonts w:ascii="Bookman Old Style" w:hAnsi="Bookman Old Style" w:cs="Bookman Old Style"/>
          <w:sz w:val="26"/>
          <w:szCs w:val="26"/>
        </w:rPr>
        <w:t>.</w:t>
      </w:r>
      <w:r w:rsidR="00283C90">
        <w:rPr>
          <w:rFonts w:ascii="Bookman Old Style" w:hAnsi="Bookman Old Style" w:cs="Bookman Old Style"/>
          <w:sz w:val="26"/>
          <w:szCs w:val="26"/>
        </w:rPr>
        <w:t>01</w:t>
      </w:r>
      <w:r w:rsidR="00E7068A">
        <w:rPr>
          <w:rFonts w:ascii="Bookman Old Style" w:hAnsi="Bookman Old Style" w:cs="Bookman Old Style"/>
          <w:sz w:val="26"/>
          <w:szCs w:val="26"/>
        </w:rPr>
        <w:t>A</w:t>
      </w:r>
      <w:r w:rsidR="00283C90">
        <w:rPr>
          <w:rFonts w:ascii="Bookman Old Style" w:hAnsi="Bookman Old Style" w:cs="Bookman Old Style"/>
          <w:sz w:val="26"/>
          <w:szCs w:val="26"/>
        </w:rPr>
        <w:t xml:space="preserve"> </w:t>
      </w:r>
      <w:r w:rsidR="00722E61">
        <w:rPr>
          <w:rFonts w:ascii="Bookman Old Style" w:hAnsi="Bookman Old Style" w:cs="Bookman Old Style"/>
          <w:sz w:val="26"/>
          <w:szCs w:val="26"/>
        </w:rPr>
        <w:t xml:space="preserve">follows the </w:t>
      </w:r>
      <w:r w:rsidR="00722E61" w:rsidRPr="00FB1FCD">
        <w:rPr>
          <w:rFonts w:ascii="Bookman Old Style" w:hAnsi="Bookman Old Style" w:cs="Bookman Old Style"/>
          <w:i/>
          <w:sz w:val="26"/>
          <w:szCs w:val="26"/>
        </w:rPr>
        <w:t>Kinzel</w:t>
      </w:r>
      <w:r w:rsidR="00722E61" w:rsidRPr="00722E61">
        <w:rPr>
          <w:rFonts w:ascii="Bookman Old Style" w:hAnsi="Bookman Old Style" w:cs="Bookman Old Style"/>
          <w:sz w:val="26"/>
          <w:szCs w:val="26"/>
        </w:rPr>
        <w:t xml:space="preserve"> </w:t>
      </w:r>
      <w:r w:rsidR="00722E61">
        <w:rPr>
          <w:rFonts w:ascii="Bookman Old Style" w:hAnsi="Bookman Old Style" w:cs="Bookman Old Style"/>
          <w:sz w:val="26"/>
          <w:szCs w:val="26"/>
        </w:rPr>
        <w:t>formulation</w:t>
      </w:r>
      <w:r w:rsidR="00D96C52">
        <w:rPr>
          <w:rFonts w:ascii="Bookman Old Style" w:hAnsi="Bookman Old Style" w:cs="Bookman Old Style"/>
          <w:sz w:val="26"/>
          <w:szCs w:val="26"/>
        </w:rPr>
        <w:t xml:space="preserve">. </w:t>
      </w:r>
      <w:r w:rsidR="00FD3EA8">
        <w:rPr>
          <w:rFonts w:ascii="Bookman Old Style" w:hAnsi="Bookman Old Style" w:cs="Bookman Old Style"/>
          <w:sz w:val="26"/>
          <w:szCs w:val="26"/>
        </w:rPr>
        <w:t xml:space="preserve"> </w:t>
      </w:r>
      <w:r w:rsidR="001A6A5E">
        <w:rPr>
          <w:rFonts w:ascii="Bookman Old Style" w:hAnsi="Bookman Old Style" w:cs="Bookman Old Style"/>
          <w:sz w:val="26"/>
          <w:szCs w:val="26"/>
        </w:rPr>
        <w:t xml:space="preserve">The </w:t>
      </w:r>
      <w:r w:rsidR="00474224">
        <w:rPr>
          <w:rFonts w:ascii="Bookman Old Style" w:hAnsi="Bookman Old Style" w:cs="Bookman Old Style"/>
          <w:sz w:val="26"/>
          <w:szCs w:val="26"/>
        </w:rPr>
        <w:t>p</w:t>
      </w:r>
      <w:r w:rsidR="00283C90">
        <w:rPr>
          <w:rFonts w:ascii="Bookman Old Style" w:hAnsi="Bookman Old Style" w:cs="Bookman Old Style"/>
          <w:sz w:val="26"/>
          <w:szCs w:val="26"/>
        </w:rPr>
        <w:t xml:space="preserve">ropriety of </w:t>
      </w:r>
      <w:r w:rsidR="00422702">
        <w:rPr>
          <w:rFonts w:ascii="Bookman Old Style" w:hAnsi="Bookman Old Style" w:cs="Bookman Old Style"/>
          <w:sz w:val="26"/>
          <w:szCs w:val="26"/>
        </w:rPr>
        <w:t xml:space="preserve">the </w:t>
      </w:r>
      <w:r w:rsidR="00283C90">
        <w:rPr>
          <w:rFonts w:ascii="Bookman Old Style" w:hAnsi="Bookman Old Style" w:cs="Bookman Old Style"/>
          <w:sz w:val="26"/>
          <w:szCs w:val="26"/>
        </w:rPr>
        <w:t xml:space="preserve">defendant’s conduct </w:t>
      </w:r>
      <w:r w:rsidR="004D5467">
        <w:rPr>
          <w:rFonts w:ascii="Bookman Old Style" w:hAnsi="Bookman Old Style" w:cs="Bookman Old Style"/>
          <w:sz w:val="26"/>
          <w:szCs w:val="26"/>
        </w:rPr>
        <w:t xml:space="preserve">is </w:t>
      </w:r>
      <w:r w:rsidR="00D615DD">
        <w:rPr>
          <w:rFonts w:ascii="Bookman Old Style" w:hAnsi="Bookman Old Style" w:cs="Bookman Old Style"/>
          <w:sz w:val="26"/>
          <w:szCs w:val="26"/>
        </w:rPr>
        <w:t xml:space="preserve">addressed in </w:t>
      </w:r>
      <w:r w:rsidR="004D5467">
        <w:rPr>
          <w:rFonts w:ascii="Bookman Old Style" w:hAnsi="Bookman Old Style" w:cs="Bookman Old Style"/>
          <w:sz w:val="26"/>
          <w:szCs w:val="26"/>
        </w:rPr>
        <w:t>Instruction</w:t>
      </w:r>
      <w:r w:rsidR="00283C90">
        <w:rPr>
          <w:rFonts w:ascii="Bookman Old Style" w:hAnsi="Bookman Old Style" w:cs="Bookman Old Style"/>
          <w:sz w:val="26"/>
          <w:szCs w:val="26"/>
        </w:rPr>
        <w:t xml:space="preserve"> 19</w:t>
      </w:r>
      <w:r w:rsidR="00480851">
        <w:rPr>
          <w:rFonts w:ascii="Bookman Old Style" w:hAnsi="Bookman Old Style" w:cs="Bookman Old Style"/>
          <w:sz w:val="26"/>
          <w:szCs w:val="26"/>
        </w:rPr>
        <w:t>.</w:t>
      </w:r>
      <w:r w:rsidR="00283C90">
        <w:rPr>
          <w:rFonts w:ascii="Bookman Old Style" w:hAnsi="Bookman Old Style" w:cs="Bookman Old Style"/>
          <w:sz w:val="26"/>
          <w:szCs w:val="26"/>
        </w:rPr>
        <w:t xml:space="preserve">03 on </w:t>
      </w:r>
      <w:r w:rsidR="004D5467">
        <w:rPr>
          <w:rFonts w:ascii="Bookman Old Style" w:hAnsi="Bookman Old Style" w:cs="Bookman Old Style"/>
          <w:sz w:val="26"/>
          <w:szCs w:val="26"/>
        </w:rPr>
        <w:t xml:space="preserve">privilege and </w:t>
      </w:r>
      <w:r w:rsidR="00D96C52">
        <w:rPr>
          <w:rFonts w:ascii="Bookman Old Style" w:hAnsi="Bookman Old Style" w:cs="Bookman Old Style"/>
          <w:sz w:val="26"/>
          <w:szCs w:val="26"/>
        </w:rPr>
        <w:t xml:space="preserve">justification. </w:t>
      </w:r>
      <w:r w:rsidR="00FD3EA8">
        <w:rPr>
          <w:rFonts w:ascii="Bookman Old Style" w:hAnsi="Bookman Old Style" w:cs="Bookman Old Style"/>
          <w:sz w:val="26"/>
          <w:szCs w:val="26"/>
        </w:rPr>
        <w:t xml:space="preserve"> </w:t>
      </w:r>
      <w:r w:rsidR="001A6A5E">
        <w:rPr>
          <w:rFonts w:ascii="Bookman Old Style" w:hAnsi="Bookman Old Style" w:cs="Bookman Old Style"/>
          <w:sz w:val="26"/>
          <w:szCs w:val="26"/>
        </w:rPr>
        <w:t xml:space="preserve">This is consistent with Alaska decisions that </w:t>
      </w:r>
      <w:r w:rsidR="00DB0214">
        <w:rPr>
          <w:rFonts w:ascii="Bookman Old Style" w:hAnsi="Bookman Old Style" w:cs="Bookman Old Style"/>
          <w:sz w:val="26"/>
          <w:szCs w:val="26"/>
        </w:rPr>
        <w:t>discuss</w:t>
      </w:r>
      <w:r w:rsidR="001A6A5E">
        <w:rPr>
          <w:rFonts w:ascii="Bookman Old Style" w:hAnsi="Bookman Old Style" w:cs="Bookman Old Style"/>
          <w:sz w:val="26"/>
          <w:szCs w:val="26"/>
        </w:rPr>
        <w:t xml:space="preserve"> the character of the defendant</w:t>
      </w:r>
      <w:r w:rsidR="00DB0214">
        <w:rPr>
          <w:rFonts w:ascii="Bookman Old Style" w:hAnsi="Bookman Old Style" w:cs="Bookman Old Style"/>
          <w:sz w:val="26"/>
          <w:szCs w:val="26"/>
        </w:rPr>
        <w:t>’</w:t>
      </w:r>
      <w:r w:rsidR="001A6A5E">
        <w:rPr>
          <w:rFonts w:ascii="Bookman Old Style" w:hAnsi="Bookman Old Style" w:cs="Bookman Old Style"/>
          <w:sz w:val="26"/>
          <w:szCs w:val="26"/>
        </w:rPr>
        <w:t xml:space="preserve">s conduct in </w:t>
      </w:r>
      <w:r w:rsidR="00DB0214">
        <w:rPr>
          <w:rFonts w:ascii="Bookman Old Style" w:hAnsi="Bookman Old Style" w:cs="Bookman Old Style"/>
          <w:sz w:val="26"/>
          <w:szCs w:val="26"/>
        </w:rPr>
        <w:t xml:space="preserve">the context of </w:t>
      </w:r>
      <w:r w:rsidR="001A6A5E">
        <w:rPr>
          <w:rFonts w:ascii="Bookman Old Style" w:hAnsi="Bookman Old Style" w:cs="Bookman Old Style"/>
          <w:sz w:val="26"/>
          <w:szCs w:val="26"/>
        </w:rPr>
        <w:t xml:space="preserve">justification and privilege. </w:t>
      </w:r>
      <w:r w:rsidR="00FD3EA8">
        <w:rPr>
          <w:rFonts w:ascii="Bookman Old Style" w:hAnsi="Bookman Old Style" w:cs="Bookman Old Style"/>
          <w:sz w:val="26"/>
          <w:szCs w:val="26"/>
        </w:rPr>
        <w:t xml:space="preserve"> </w:t>
      </w:r>
      <w:r w:rsidR="00EB7540">
        <w:rPr>
          <w:rFonts w:ascii="Bookman Old Style" w:hAnsi="Bookman Old Style" w:cs="Bookman Old Style"/>
          <w:i/>
          <w:sz w:val="26"/>
          <w:szCs w:val="26"/>
        </w:rPr>
        <w:t>See, e.g.,</w:t>
      </w:r>
      <w:r w:rsidR="00DB0214">
        <w:rPr>
          <w:rFonts w:ascii="Bookman Old Style" w:hAnsi="Bookman Old Style" w:cs="Bookman Old Style"/>
          <w:sz w:val="26"/>
          <w:szCs w:val="26"/>
        </w:rPr>
        <w:t xml:space="preserve"> </w:t>
      </w:r>
      <w:r w:rsidR="00DB0214" w:rsidRPr="005529CD">
        <w:rPr>
          <w:rFonts w:ascii="Bookman Old Style" w:hAnsi="Bookman Old Style"/>
          <w:i/>
          <w:sz w:val="26"/>
          <w:szCs w:val="26"/>
        </w:rPr>
        <w:t>Alyeska Pipeline Service Co. v. Aurora Air Service, Inc.</w:t>
      </w:r>
      <w:r w:rsidR="00DB0214" w:rsidRPr="00002B5F">
        <w:rPr>
          <w:rFonts w:ascii="Bookman Old Style" w:hAnsi="Bookman Old Style"/>
          <w:sz w:val="26"/>
          <w:szCs w:val="26"/>
        </w:rPr>
        <w:t>, 604 P.2d 1090</w:t>
      </w:r>
      <w:r w:rsidR="00DB0214">
        <w:rPr>
          <w:rFonts w:ascii="Bookman Old Style" w:hAnsi="Bookman Old Style"/>
          <w:sz w:val="26"/>
          <w:szCs w:val="26"/>
        </w:rPr>
        <w:t>, 1094</w:t>
      </w:r>
      <w:r w:rsidR="00DB0214" w:rsidRPr="00002B5F">
        <w:rPr>
          <w:rFonts w:ascii="Bookman Old Style" w:hAnsi="Bookman Old Style"/>
          <w:sz w:val="26"/>
          <w:szCs w:val="26"/>
        </w:rPr>
        <w:t xml:space="preserve"> (Alaska 1979)</w:t>
      </w:r>
      <w:r w:rsidR="00DB0214">
        <w:rPr>
          <w:rFonts w:ascii="Bookman Old Style" w:hAnsi="Bookman Old Style" w:cs="Bookman Old Style"/>
          <w:sz w:val="26"/>
          <w:szCs w:val="26"/>
        </w:rPr>
        <w:t xml:space="preserve">(“In order to negate liability, the justification must be as broad as the act and must cover not only the motive and purpose, but also the means used”). </w:t>
      </w:r>
      <w:r w:rsidR="001A6A5E">
        <w:rPr>
          <w:rFonts w:ascii="Bookman Old Style" w:hAnsi="Bookman Old Style" w:cs="Bookman Old Style"/>
          <w:sz w:val="26"/>
          <w:szCs w:val="26"/>
        </w:rPr>
        <w:t xml:space="preserve"> </w:t>
      </w:r>
    </w:p>
    <w:p w:rsidR="00CE7B28" w:rsidRPr="005529CD" w:rsidRDefault="00CE7B28" w:rsidP="003D631B">
      <w:pPr>
        <w:jc w:val="both"/>
        <w:rPr>
          <w:rFonts w:ascii="Bookman Old Style" w:hAnsi="Bookman Old Style"/>
          <w:sz w:val="26"/>
          <w:szCs w:val="26"/>
        </w:rPr>
      </w:pPr>
    </w:p>
    <w:p w:rsidR="00611D48" w:rsidRDefault="00F15D54" w:rsidP="00FB1FCD">
      <w:pPr>
        <w:widowControl w:val="0"/>
        <w:adjustRightInd w:val="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On the last element, </w:t>
      </w:r>
      <w:r w:rsidR="007F798D">
        <w:rPr>
          <w:rFonts w:ascii="Bookman Old Style" w:hAnsi="Bookman Old Style" w:cs="Bookman Old Style"/>
          <w:snapToGrid w:val="0"/>
          <w:sz w:val="26"/>
          <w:szCs w:val="26"/>
        </w:rPr>
        <w:t>the court has “</w:t>
      </w:r>
      <w:r w:rsidR="007F798D" w:rsidRPr="007F798D">
        <w:rPr>
          <w:rFonts w:ascii="Bookman Old Style" w:hAnsi="Bookman Old Style" w:cs="Bookman Old Style"/>
          <w:snapToGrid w:val="0"/>
          <w:sz w:val="26"/>
          <w:szCs w:val="26"/>
        </w:rPr>
        <w:t xml:space="preserve">adopted a test of privilege </w:t>
      </w:r>
      <w:r w:rsidR="00E14EB1">
        <w:rPr>
          <w:rFonts w:ascii="Bookman Old Style" w:hAnsi="Bookman Old Style" w:cs="Bookman Old Style"/>
          <w:snapToGrid w:val="0"/>
          <w:sz w:val="26"/>
          <w:szCs w:val="26"/>
        </w:rPr>
        <w:t>. . .</w:t>
      </w:r>
      <w:r w:rsidR="009E3DE1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7F798D" w:rsidRPr="007F798D">
        <w:rPr>
          <w:rFonts w:ascii="Bookman Old Style" w:hAnsi="Bookman Old Style" w:cs="Bookman Old Style"/>
          <w:snapToGrid w:val="0"/>
          <w:sz w:val="26"/>
          <w:szCs w:val="26"/>
        </w:rPr>
        <w:t xml:space="preserve">that where an actor has a direct financial interest, he is privileged to interfere with a contract for economic reasons, but not where he is motivated by </w:t>
      </w:r>
      <w:r w:rsidR="007F798D" w:rsidRPr="007F798D">
        <w:rPr>
          <w:rFonts w:ascii="Bookman Old Style" w:hAnsi="Bookman Old Style" w:cs="Bookman Old Style"/>
          <w:snapToGrid w:val="0"/>
          <w:sz w:val="26"/>
          <w:szCs w:val="26"/>
        </w:rPr>
        <w:lastRenderedPageBreak/>
        <w:t>spite, malice, or some other improper objective</w:t>
      </w:r>
      <w:r w:rsidR="00E14EB1">
        <w:rPr>
          <w:rFonts w:ascii="Bookman Old Style" w:hAnsi="Bookman Old Style" w:cs="Bookman Old Style"/>
          <w:snapToGrid w:val="0"/>
          <w:sz w:val="26"/>
          <w:szCs w:val="26"/>
        </w:rPr>
        <w:t xml:space="preserve">.” </w:t>
      </w:r>
      <w:r w:rsidR="00EF3DAB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E14EB1" w:rsidRPr="00FB1FCD">
        <w:rPr>
          <w:rFonts w:ascii="Bookman Old Style" w:hAnsi="Bookman Old Style" w:cs="Bookman Old Style"/>
          <w:i/>
          <w:snapToGrid w:val="0"/>
          <w:sz w:val="26"/>
          <w:szCs w:val="26"/>
        </w:rPr>
        <w:t>RAN Corp.v. Hudesman</w:t>
      </w:r>
      <w:r w:rsidR="00E14EB1" w:rsidRPr="00E14EB1">
        <w:rPr>
          <w:rFonts w:ascii="Bookman Old Style" w:hAnsi="Bookman Old Style" w:cs="Bookman Old Style"/>
          <w:snapToGrid w:val="0"/>
          <w:sz w:val="26"/>
          <w:szCs w:val="26"/>
        </w:rPr>
        <w:t>, 823 P.2d 646, 648 (</w:t>
      </w:r>
      <w:smartTag w:uri="urn:schemas-microsoft-com:office:smarttags" w:element="State">
        <w:r w:rsidR="00E14EB1" w:rsidRPr="00E14EB1">
          <w:rPr>
            <w:rFonts w:ascii="Bookman Old Style" w:hAnsi="Bookman Old Style" w:cs="Bookman Old Style"/>
            <w:snapToGrid w:val="0"/>
            <w:sz w:val="26"/>
            <w:szCs w:val="26"/>
          </w:rPr>
          <w:t>Alaska</w:t>
        </w:r>
      </w:smartTag>
      <w:r w:rsidR="00E14EB1" w:rsidRPr="00E14EB1">
        <w:rPr>
          <w:rFonts w:ascii="Bookman Old Style" w:hAnsi="Bookman Old Style" w:cs="Bookman Old Style"/>
          <w:snapToGrid w:val="0"/>
          <w:sz w:val="26"/>
          <w:szCs w:val="26"/>
        </w:rPr>
        <w:t xml:space="preserve"> 1991)</w:t>
      </w:r>
      <w:r w:rsidR="00E14EB1">
        <w:rPr>
          <w:rFonts w:ascii="Bookman Old Style" w:hAnsi="Bookman Old Style" w:cs="Bookman Old Style"/>
          <w:snapToGrid w:val="0"/>
          <w:sz w:val="26"/>
          <w:szCs w:val="26"/>
        </w:rPr>
        <w:t xml:space="preserve">. </w:t>
      </w:r>
      <w:r w:rsidR="00FD3EA8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9E3DE1">
        <w:rPr>
          <w:rFonts w:ascii="Bookman Old Style" w:hAnsi="Bookman Old Style" w:cs="Bookman Old Style"/>
          <w:snapToGrid w:val="0"/>
          <w:sz w:val="26"/>
          <w:szCs w:val="26"/>
        </w:rPr>
        <w:t>The p</w:t>
      </w:r>
      <w:r w:rsidR="008105AD">
        <w:rPr>
          <w:rFonts w:ascii="Bookman Old Style" w:hAnsi="Bookman Old Style" w:cs="Bookman Old Style"/>
          <w:snapToGrid w:val="0"/>
          <w:sz w:val="26"/>
          <w:szCs w:val="26"/>
        </w:rPr>
        <w:t>laintiff bears the burden of proof</w:t>
      </w:r>
      <w:r w:rsidR="00A56184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067852">
        <w:rPr>
          <w:rFonts w:ascii="Bookman Old Style" w:hAnsi="Bookman Old Style" w:cs="Bookman Old Style"/>
          <w:snapToGrid w:val="0"/>
          <w:sz w:val="26"/>
          <w:szCs w:val="26"/>
        </w:rPr>
        <w:t xml:space="preserve">to show that </w:t>
      </w:r>
      <w:r w:rsidR="009E3DE1">
        <w:rPr>
          <w:rFonts w:ascii="Bookman Old Style" w:hAnsi="Bookman Old Style" w:cs="Bookman Old Style"/>
          <w:snapToGrid w:val="0"/>
          <w:sz w:val="26"/>
          <w:szCs w:val="26"/>
        </w:rPr>
        <w:t xml:space="preserve">the </w:t>
      </w:r>
      <w:r w:rsidR="008105AD">
        <w:rPr>
          <w:rFonts w:ascii="Bookman Old Style" w:hAnsi="Bookman Old Style" w:cs="Bookman Old Style"/>
          <w:snapToGrid w:val="0"/>
          <w:sz w:val="26"/>
          <w:szCs w:val="26"/>
        </w:rPr>
        <w:t xml:space="preserve">defendant’s conduct was </w:t>
      </w:r>
      <w:r w:rsidR="00067852">
        <w:rPr>
          <w:rFonts w:ascii="Bookman Old Style" w:hAnsi="Bookman Old Style" w:cs="Bookman Old Style"/>
          <w:snapToGrid w:val="0"/>
          <w:sz w:val="26"/>
          <w:szCs w:val="26"/>
        </w:rPr>
        <w:t xml:space="preserve">not </w:t>
      </w:r>
      <w:r w:rsidR="008105AD">
        <w:rPr>
          <w:rFonts w:ascii="Bookman Old Style" w:hAnsi="Bookman Old Style" w:cs="Bookman Old Style"/>
          <w:snapToGrid w:val="0"/>
          <w:sz w:val="26"/>
          <w:szCs w:val="26"/>
        </w:rPr>
        <w:t>justified</w:t>
      </w:r>
      <w:r w:rsidR="00067852">
        <w:rPr>
          <w:rFonts w:ascii="Bookman Old Style" w:hAnsi="Bookman Old Style" w:cs="Bookman Old Style"/>
          <w:snapToGrid w:val="0"/>
          <w:sz w:val="26"/>
          <w:szCs w:val="26"/>
        </w:rPr>
        <w:t xml:space="preserve"> or privileged</w:t>
      </w:r>
      <w:r w:rsidR="008105AD">
        <w:rPr>
          <w:rFonts w:ascii="Bookman Old Style" w:hAnsi="Bookman Old Style" w:cs="Bookman Old Style"/>
          <w:snapToGrid w:val="0"/>
          <w:sz w:val="26"/>
          <w:szCs w:val="26"/>
        </w:rPr>
        <w:t xml:space="preserve">. </w:t>
      </w:r>
      <w:r w:rsidR="00FD3EA8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EB7540">
        <w:rPr>
          <w:rFonts w:ascii="Bookman Old Style" w:hAnsi="Bookman Old Style" w:cs="Bookman Old Style"/>
          <w:i/>
          <w:snapToGrid w:val="0"/>
          <w:sz w:val="26"/>
          <w:szCs w:val="26"/>
        </w:rPr>
        <w:t>See, e</w:t>
      </w:r>
      <w:r w:rsidR="008105AD" w:rsidRPr="00671B05">
        <w:rPr>
          <w:rFonts w:ascii="Bookman Old Style" w:hAnsi="Bookman Old Style" w:cs="Bookman Old Style"/>
          <w:i/>
          <w:snapToGrid w:val="0"/>
          <w:sz w:val="26"/>
          <w:szCs w:val="26"/>
        </w:rPr>
        <w:t>.g</w:t>
      </w:r>
      <w:r w:rsidR="008105AD">
        <w:rPr>
          <w:rFonts w:ascii="Bookman Old Style" w:hAnsi="Bookman Old Style" w:cs="Bookman Old Style"/>
          <w:snapToGrid w:val="0"/>
          <w:sz w:val="26"/>
          <w:szCs w:val="26"/>
        </w:rPr>
        <w:t xml:space="preserve">., </w:t>
      </w:r>
      <w:r w:rsidR="008105AD" w:rsidRPr="00997080">
        <w:rPr>
          <w:rFonts w:ascii="Bookman Old Style" w:hAnsi="Bookman Old Style" w:cs="Bookman Old Style"/>
          <w:i/>
          <w:sz w:val="26"/>
          <w:szCs w:val="26"/>
        </w:rPr>
        <w:t>Kinzel</w:t>
      </w:r>
      <w:r w:rsidR="008105AD">
        <w:rPr>
          <w:rFonts w:ascii="Bookman Old Style" w:hAnsi="Bookman Old Style" w:cs="Bookman Old Style"/>
          <w:sz w:val="26"/>
          <w:szCs w:val="26"/>
        </w:rPr>
        <w:t>,</w:t>
      </w:r>
      <w:r w:rsidR="008105AD" w:rsidRPr="00997080">
        <w:rPr>
          <w:rFonts w:ascii="Bookman Old Style" w:hAnsi="Bookman Old Style" w:cs="Bookman Old Style"/>
          <w:sz w:val="26"/>
          <w:szCs w:val="26"/>
        </w:rPr>
        <w:t xml:space="preserve"> 93 P.3d </w:t>
      </w:r>
      <w:r w:rsidR="008105AD">
        <w:rPr>
          <w:rFonts w:ascii="Bookman Old Style" w:hAnsi="Bookman Old Style" w:cs="Bookman Old Style"/>
          <w:sz w:val="26"/>
          <w:szCs w:val="26"/>
        </w:rPr>
        <w:t>at</w:t>
      </w:r>
      <w:r w:rsidR="008105AD" w:rsidRPr="00997080">
        <w:rPr>
          <w:rFonts w:ascii="Bookman Old Style" w:hAnsi="Bookman Old Style" w:cs="Bookman Old Style"/>
          <w:sz w:val="26"/>
          <w:szCs w:val="26"/>
        </w:rPr>
        <w:t xml:space="preserve"> 443</w:t>
      </w:r>
      <w:r w:rsidR="008105AD">
        <w:rPr>
          <w:rFonts w:ascii="Bookman Old Style" w:hAnsi="Bookman Old Style" w:cs="Bookman Old Style"/>
          <w:sz w:val="26"/>
          <w:szCs w:val="26"/>
        </w:rPr>
        <w:t xml:space="preserve">. </w:t>
      </w:r>
      <w:r w:rsidR="00FD3EA8">
        <w:rPr>
          <w:rFonts w:ascii="Bookman Old Style" w:hAnsi="Bookman Old Style" w:cs="Bookman Old Style"/>
          <w:sz w:val="26"/>
          <w:szCs w:val="26"/>
        </w:rPr>
        <w:t xml:space="preserve"> </w:t>
      </w:r>
      <w:r w:rsidR="00D615DD">
        <w:rPr>
          <w:rFonts w:ascii="Bookman Old Style" w:hAnsi="Bookman Old Style" w:cs="Bookman Old Style"/>
          <w:snapToGrid w:val="0"/>
          <w:sz w:val="26"/>
          <w:szCs w:val="26"/>
        </w:rPr>
        <w:t>U</w:t>
      </w:r>
      <w:r w:rsidR="00E81B3A">
        <w:rPr>
          <w:rFonts w:ascii="Bookman Old Style" w:hAnsi="Bookman Old Style" w:cs="Bookman Old Style"/>
          <w:snapToGrid w:val="0"/>
          <w:sz w:val="26"/>
          <w:szCs w:val="26"/>
        </w:rPr>
        <w:t>ntil 198</w:t>
      </w:r>
      <w:r w:rsidR="002F67BF">
        <w:rPr>
          <w:rFonts w:ascii="Bookman Old Style" w:hAnsi="Bookman Old Style" w:cs="Bookman Old Style"/>
          <w:snapToGrid w:val="0"/>
          <w:sz w:val="26"/>
          <w:szCs w:val="26"/>
        </w:rPr>
        <w:t>6</w:t>
      </w:r>
      <w:r w:rsidR="00E81B3A">
        <w:rPr>
          <w:rFonts w:ascii="Bookman Old Style" w:hAnsi="Bookman Old Style" w:cs="Bookman Old Style"/>
          <w:snapToGrid w:val="0"/>
          <w:sz w:val="26"/>
          <w:szCs w:val="26"/>
        </w:rPr>
        <w:t>, t</w:t>
      </w:r>
      <w:r w:rsidR="00581028">
        <w:rPr>
          <w:rFonts w:ascii="Bookman Old Style" w:hAnsi="Bookman Old Style" w:cs="Bookman Old Style"/>
          <w:snapToGrid w:val="0"/>
          <w:sz w:val="26"/>
          <w:szCs w:val="26"/>
        </w:rPr>
        <w:t xml:space="preserve">he </w:t>
      </w:r>
      <w:r w:rsidR="00985F5A">
        <w:rPr>
          <w:rFonts w:ascii="Bookman Old Style" w:hAnsi="Bookman Old Style" w:cs="Bookman Old Style"/>
          <w:snapToGrid w:val="0"/>
          <w:sz w:val="26"/>
          <w:szCs w:val="26"/>
        </w:rPr>
        <w:t xml:space="preserve">Alaska decisions held that </w:t>
      </w:r>
      <w:r w:rsidR="009E3DE1">
        <w:rPr>
          <w:rFonts w:ascii="Bookman Old Style" w:hAnsi="Bookman Old Style" w:cs="Bookman Old Style"/>
          <w:snapToGrid w:val="0"/>
          <w:sz w:val="26"/>
          <w:szCs w:val="26"/>
        </w:rPr>
        <w:t xml:space="preserve">the </w:t>
      </w:r>
      <w:r w:rsidR="00581028">
        <w:rPr>
          <w:rFonts w:ascii="Bookman Old Style" w:hAnsi="Bookman Old Style" w:cs="Bookman Old Style"/>
          <w:snapToGrid w:val="0"/>
          <w:sz w:val="26"/>
          <w:szCs w:val="26"/>
        </w:rPr>
        <w:t xml:space="preserve">defendant </w:t>
      </w:r>
      <w:r w:rsidR="00E81B3A">
        <w:rPr>
          <w:rFonts w:ascii="Bookman Old Style" w:hAnsi="Bookman Old Style" w:cs="Bookman Old Style"/>
          <w:snapToGrid w:val="0"/>
          <w:sz w:val="26"/>
          <w:szCs w:val="26"/>
        </w:rPr>
        <w:t>bore t</w:t>
      </w:r>
      <w:r w:rsidR="00581028">
        <w:rPr>
          <w:rFonts w:ascii="Bookman Old Style" w:hAnsi="Bookman Old Style" w:cs="Bookman Old Style"/>
          <w:snapToGrid w:val="0"/>
          <w:sz w:val="26"/>
          <w:szCs w:val="26"/>
        </w:rPr>
        <w:t xml:space="preserve">he burden of proof to show </w:t>
      </w:r>
      <w:r w:rsidR="00E81B3A">
        <w:rPr>
          <w:rFonts w:ascii="Bookman Old Style" w:hAnsi="Bookman Old Style" w:cs="Bookman Old Style"/>
          <w:snapToGrid w:val="0"/>
          <w:sz w:val="26"/>
          <w:szCs w:val="26"/>
        </w:rPr>
        <w:t xml:space="preserve">that </w:t>
      </w:r>
      <w:r w:rsidR="00581028">
        <w:rPr>
          <w:rFonts w:ascii="Bookman Old Style" w:hAnsi="Bookman Old Style" w:cs="Bookman Old Style"/>
          <w:snapToGrid w:val="0"/>
          <w:sz w:val="26"/>
          <w:szCs w:val="26"/>
        </w:rPr>
        <w:t>its conduct was justified or privileged.</w:t>
      </w:r>
      <w:r w:rsidR="00D5442B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FD3EA8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EB7540">
        <w:rPr>
          <w:rFonts w:ascii="Bookman Old Style" w:hAnsi="Bookman Old Style" w:cs="Bookman Old Style"/>
          <w:i/>
          <w:snapToGrid w:val="0"/>
          <w:sz w:val="26"/>
          <w:szCs w:val="26"/>
        </w:rPr>
        <w:t>See, e</w:t>
      </w:r>
      <w:r w:rsidR="00581028" w:rsidRPr="002E3024">
        <w:rPr>
          <w:rFonts w:ascii="Bookman Old Style" w:hAnsi="Bookman Old Style" w:cs="Bookman Old Style"/>
          <w:i/>
          <w:snapToGrid w:val="0"/>
          <w:sz w:val="26"/>
          <w:szCs w:val="26"/>
        </w:rPr>
        <w:t>.g.</w:t>
      </w:r>
      <w:r w:rsidR="00581028">
        <w:rPr>
          <w:rFonts w:ascii="Bookman Old Style" w:hAnsi="Bookman Old Style" w:cs="Bookman Old Style"/>
          <w:snapToGrid w:val="0"/>
          <w:sz w:val="26"/>
          <w:szCs w:val="26"/>
        </w:rPr>
        <w:t xml:space="preserve">, </w:t>
      </w:r>
      <w:r w:rsidR="00E81B3A" w:rsidRPr="005501A5">
        <w:rPr>
          <w:rFonts w:ascii="Bookman Old Style" w:hAnsi="Bookman Old Style" w:cs="Bookman Old Style"/>
          <w:i/>
          <w:snapToGrid w:val="0"/>
          <w:sz w:val="26"/>
          <w:szCs w:val="26"/>
        </w:rPr>
        <w:t>Bendix</w:t>
      </w:r>
      <w:r w:rsidR="00E81B3A" w:rsidRPr="002E3024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 Corp.</w:t>
      </w:r>
      <w:r w:rsidR="00E81B3A">
        <w:rPr>
          <w:rFonts w:ascii="Bookman Old Style" w:hAnsi="Bookman Old Style" w:cs="Bookman Old Style"/>
          <w:snapToGrid w:val="0"/>
          <w:sz w:val="26"/>
          <w:szCs w:val="26"/>
        </w:rPr>
        <w:t xml:space="preserve">, </w:t>
      </w:r>
      <w:r w:rsidR="00E81B3A" w:rsidRPr="00936FDF">
        <w:rPr>
          <w:rFonts w:ascii="Bookman Old Style" w:hAnsi="Bookman Old Style" w:cs="Bookman Old Style"/>
          <w:snapToGrid w:val="0"/>
          <w:sz w:val="26"/>
          <w:szCs w:val="26"/>
        </w:rPr>
        <w:t xml:space="preserve">610 P.2d </w:t>
      </w:r>
      <w:r w:rsidR="0056027A">
        <w:rPr>
          <w:rFonts w:ascii="Bookman Old Style" w:hAnsi="Bookman Old Style" w:cs="Bookman Old Style"/>
          <w:snapToGrid w:val="0"/>
          <w:sz w:val="26"/>
          <w:szCs w:val="26"/>
        </w:rPr>
        <w:t>at</w:t>
      </w:r>
      <w:r w:rsidR="00E81B3A">
        <w:rPr>
          <w:rFonts w:ascii="Bookman Old Style" w:hAnsi="Bookman Old Style" w:cs="Bookman Old Style"/>
          <w:snapToGrid w:val="0"/>
          <w:sz w:val="26"/>
          <w:szCs w:val="26"/>
        </w:rPr>
        <w:t xml:space="preserve"> 29</w:t>
      </w:r>
      <w:r w:rsidR="0056027A">
        <w:rPr>
          <w:rFonts w:ascii="Bookman Old Style" w:hAnsi="Bookman Old Style" w:cs="Bookman Old Style"/>
          <w:snapToGrid w:val="0"/>
          <w:sz w:val="26"/>
          <w:szCs w:val="26"/>
        </w:rPr>
        <w:t>;</w:t>
      </w:r>
      <w:r w:rsidR="00E81B3A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581028" w:rsidRPr="005501A5">
        <w:rPr>
          <w:rFonts w:ascii="Bookman Old Style" w:hAnsi="Bookman Old Style" w:cs="Bookman Old Style"/>
          <w:i/>
          <w:snapToGrid w:val="0"/>
          <w:sz w:val="26"/>
          <w:szCs w:val="26"/>
        </w:rPr>
        <w:t>Alyeska</w:t>
      </w:r>
      <w:r w:rsidR="00581028" w:rsidRPr="002E3024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 Pipeline Service Co.</w:t>
      </w:r>
      <w:r w:rsidR="00581028" w:rsidRPr="00936FDF">
        <w:rPr>
          <w:rFonts w:ascii="Bookman Old Style" w:hAnsi="Bookman Old Style" w:cs="Bookman Old Style"/>
          <w:snapToGrid w:val="0"/>
          <w:sz w:val="26"/>
          <w:szCs w:val="26"/>
        </w:rPr>
        <w:t xml:space="preserve">, 604 P.2d </w:t>
      </w:r>
      <w:r w:rsidR="00B05E96">
        <w:rPr>
          <w:rFonts w:ascii="Bookman Old Style" w:hAnsi="Bookman Old Style" w:cs="Bookman Old Style"/>
          <w:snapToGrid w:val="0"/>
          <w:sz w:val="26"/>
          <w:szCs w:val="26"/>
        </w:rPr>
        <w:t>at</w:t>
      </w:r>
      <w:r w:rsidR="00581028" w:rsidRPr="00936FDF">
        <w:rPr>
          <w:rFonts w:ascii="Bookman Old Style" w:hAnsi="Bookman Old Style" w:cs="Bookman Old Style"/>
          <w:snapToGrid w:val="0"/>
          <w:sz w:val="26"/>
          <w:szCs w:val="26"/>
        </w:rPr>
        <w:t xml:space="preserve"> 1095</w:t>
      </w:r>
      <w:r w:rsidR="00DB4F86">
        <w:rPr>
          <w:rFonts w:ascii="Bookman Old Style" w:hAnsi="Bookman Old Style" w:cs="Bookman Old Style"/>
          <w:snapToGrid w:val="0"/>
          <w:sz w:val="26"/>
          <w:szCs w:val="26"/>
        </w:rPr>
        <w:t xml:space="preserve">; </w:t>
      </w:r>
      <w:r w:rsidR="00DB4F86" w:rsidRPr="005501A5">
        <w:rPr>
          <w:rFonts w:ascii="Bookman Old Style" w:hAnsi="Bookman Old Style" w:cs="Bookman Old Style"/>
          <w:i/>
          <w:snapToGrid w:val="0"/>
          <w:sz w:val="26"/>
          <w:szCs w:val="26"/>
        </w:rPr>
        <w:t>Long</w:t>
      </w:r>
      <w:r w:rsidR="00DB4F86">
        <w:rPr>
          <w:rFonts w:ascii="Bookman Old Style" w:hAnsi="Bookman Old Style" w:cs="Bookman Old Style"/>
          <w:snapToGrid w:val="0"/>
          <w:sz w:val="26"/>
          <w:szCs w:val="26"/>
        </w:rPr>
        <w:t>, 488 P</w:t>
      </w:r>
      <w:r w:rsidR="00581028" w:rsidRPr="00936FDF">
        <w:rPr>
          <w:rFonts w:ascii="Bookman Old Style" w:hAnsi="Bookman Old Style" w:cs="Bookman Old Style"/>
          <w:snapToGrid w:val="0"/>
          <w:sz w:val="26"/>
          <w:szCs w:val="26"/>
        </w:rPr>
        <w:t>.</w:t>
      </w:r>
      <w:r w:rsidR="00DB4F86">
        <w:rPr>
          <w:rFonts w:ascii="Bookman Old Style" w:hAnsi="Bookman Old Style" w:cs="Bookman Old Style"/>
          <w:snapToGrid w:val="0"/>
          <w:sz w:val="26"/>
          <w:szCs w:val="26"/>
        </w:rPr>
        <w:t xml:space="preserve">2d </w:t>
      </w:r>
      <w:r w:rsidR="007B5C5B">
        <w:rPr>
          <w:rFonts w:ascii="Bookman Old Style" w:hAnsi="Bookman Old Style" w:cs="Bookman Old Style"/>
          <w:snapToGrid w:val="0"/>
          <w:sz w:val="26"/>
          <w:szCs w:val="26"/>
        </w:rPr>
        <w:t>at</w:t>
      </w:r>
      <w:r w:rsidR="00DB4F86">
        <w:rPr>
          <w:rFonts w:ascii="Bookman Old Style" w:hAnsi="Bookman Old Style" w:cs="Bookman Old Style"/>
          <w:snapToGrid w:val="0"/>
          <w:sz w:val="26"/>
          <w:szCs w:val="26"/>
        </w:rPr>
        <w:t xml:space="preserve"> 722</w:t>
      </w:r>
      <w:r w:rsidR="007B5C5B">
        <w:rPr>
          <w:rFonts w:ascii="Bookman Old Style" w:hAnsi="Bookman Old Style" w:cs="Bookman Old Style"/>
          <w:snapToGrid w:val="0"/>
          <w:sz w:val="26"/>
          <w:szCs w:val="26"/>
        </w:rPr>
        <w:t>.</w:t>
      </w:r>
      <w:r w:rsidR="009E3DE1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FD3EA8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E81B3A">
        <w:rPr>
          <w:rFonts w:ascii="Bookman Old Style" w:hAnsi="Bookman Old Style" w:cs="Bookman Old Style"/>
          <w:snapToGrid w:val="0"/>
          <w:sz w:val="26"/>
          <w:szCs w:val="26"/>
        </w:rPr>
        <w:t xml:space="preserve">But in </w:t>
      </w:r>
      <w:r w:rsidR="0079522F" w:rsidRPr="005529CD">
        <w:rPr>
          <w:rFonts w:ascii="Bookman Old Style" w:hAnsi="Bookman Old Style" w:cs="Bookman Old Style"/>
          <w:i/>
          <w:snapToGrid w:val="0"/>
          <w:sz w:val="26"/>
          <w:szCs w:val="26"/>
        </w:rPr>
        <w:t>Knight v. American Guard &amp; Alert, Inc.</w:t>
      </w:r>
      <w:r w:rsidR="0079522F" w:rsidRPr="0079522F">
        <w:rPr>
          <w:rFonts w:ascii="Bookman Old Style" w:hAnsi="Bookman Old Style" w:cs="Bookman Old Style"/>
          <w:snapToGrid w:val="0"/>
          <w:sz w:val="26"/>
          <w:szCs w:val="26"/>
        </w:rPr>
        <w:t xml:space="preserve">, 714 P.2d 788, </w:t>
      </w:r>
      <w:r w:rsidR="00E5177B">
        <w:rPr>
          <w:rFonts w:ascii="Bookman Old Style" w:hAnsi="Bookman Old Style" w:cs="Bookman Old Style"/>
          <w:snapToGrid w:val="0"/>
          <w:sz w:val="26"/>
          <w:szCs w:val="26"/>
        </w:rPr>
        <w:t>793</w:t>
      </w:r>
      <w:r w:rsidR="0079522F" w:rsidRPr="0079522F">
        <w:rPr>
          <w:rFonts w:ascii="Bookman Old Style" w:hAnsi="Bookman Old Style" w:cs="Bookman Old Style"/>
          <w:snapToGrid w:val="0"/>
          <w:sz w:val="26"/>
          <w:szCs w:val="26"/>
        </w:rPr>
        <w:t xml:space="preserve"> (Alaska 1986)</w:t>
      </w:r>
      <w:r w:rsidR="0079522F">
        <w:rPr>
          <w:rFonts w:ascii="Bookman Old Style" w:hAnsi="Bookman Old Style" w:cs="Bookman Old Style"/>
          <w:snapToGrid w:val="0"/>
          <w:sz w:val="26"/>
          <w:szCs w:val="26"/>
        </w:rPr>
        <w:t>,</w:t>
      </w:r>
      <w:r w:rsidR="00E81B3A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581028" w:rsidRPr="005529CD">
        <w:rPr>
          <w:rFonts w:ascii="Bookman Old Style" w:hAnsi="Bookman Old Style" w:cs="Bookman Old Style"/>
          <w:snapToGrid w:val="0"/>
          <w:sz w:val="26"/>
          <w:szCs w:val="26"/>
        </w:rPr>
        <w:t xml:space="preserve">the court </w:t>
      </w:r>
      <w:r w:rsidR="00230021">
        <w:rPr>
          <w:rFonts w:ascii="Bookman Old Style" w:hAnsi="Bookman Old Style" w:cs="Bookman Old Style"/>
          <w:snapToGrid w:val="0"/>
          <w:sz w:val="26"/>
          <w:szCs w:val="26"/>
        </w:rPr>
        <w:t xml:space="preserve">changed position and held that </w:t>
      </w:r>
      <w:r w:rsidR="00D615DD">
        <w:rPr>
          <w:rFonts w:ascii="Bookman Old Style" w:hAnsi="Bookman Old Style" w:cs="Bookman Old Style"/>
          <w:snapToGrid w:val="0"/>
          <w:sz w:val="26"/>
          <w:szCs w:val="26"/>
        </w:rPr>
        <w:t xml:space="preserve">the </w:t>
      </w:r>
      <w:r w:rsidR="00E81B3A">
        <w:rPr>
          <w:rFonts w:ascii="Bookman Old Style" w:hAnsi="Bookman Old Style" w:cs="Bookman Old Style"/>
          <w:snapToGrid w:val="0"/>
          <w:sz w:val="26"/>
          <w:szCs w:val="26"/>
        </w:rPr>
        <w:t xml:space="preserve">plaintiff bears the burden of proof </w:t>
      </w:r>
      <w:r w:rsidR="00067852">
        <w:rPr>
          <w:rFonts w:ascii="Bookman Old Style" w:hAnsi="Bookman Old Style" w:cs="Bookman Old Style"/>
          <w:snapToGrid w:val="0"/>
          <w:sz w:val="26"/>
          <w:szCs w:val="26"/>
        </w:rPr>
        <w:t xml:space="preserve">to show </w:t>
      </w:r>
      <w:r w:rsidR="00D615DD">
        <w:rPr>
          <w:rFonts w:ascii="Bookman Old Style" w:hAnsi="Bookman Old Style" w:cs="Bookman Old Style"/>
          <w:snapToGrid w:val="0"/>
          <w:sz w:val="26"/>
          <w:szCs w:val="26"/>
        </w:rPr>
        <w:t xml:space="preserve">the </w:t>
      </w:r>
      <w:r w:rsidR="00067852">
        <w:rPr>
          <w:rFonts w:ascii="Bookman Old Style" w:hAnsi="Bookman Old Style" w:cs="Bookman Old Style"/>
          <w:snapToGrid w:val="0"/>
          <w:sz w:val="26"/>
          <w:szCs w:val="26"/>
        </w:rPr>
        <w:t>defendant</w:t>
      </w:r>
      <w:r w:rsidR="005B2D88">
        <w:rPr>
          <w:rFonts w:ascii="Bookman Old Style" w:hAnsi="Bookman Old Style" w:cs="Bookman Old Style"/>
          <w:snapToGrid w:val="0"/>
          <w:sz w:val="26"/>
          <w:szCs w:val="26"/>
        </w:rPr>
        <w:t>’</w:t>
      </w:r>
      <w:r w:rsidR="00067852">
        <w:rPr>
          <w:rFonts w:ascii="Bookman Old Style" w:hAnsi="Bookman Old Style" w:cs="Bookman Old Style"/>
          <w:snapToGrid w:val="0"/>
          <w:sz w:val="26"/>
          <w:szCs w:val="26"/>
        </w:rPr>
        <w:t>s conduct was not justified or p</w:t>
      </w:r>
      <w:r w:rsidR="00E81B3A">
        <w:rPr>
          <w:rFonts w:ascii="Bookman Old Style" w:hAnsi="Bookman Old Style" w:cs="Bookman Old Style"/>
          <w:snapToGrid w:val="0"/>
          <w:sz w:val="26"/>
          <w:szCs w:val="26"/>
        </w:rPr>
        <w:t>rivilege</w:t>
      </w:r>
      <w:r w:rsidR="00067852">
        <w:rPr>
          <w:rFonts w:ascii="Bookman Old Style" w:hAnsi="Bookman Old Style" w:cs="Bookman Old Style"/>
          <w:snapToGrid w:val="0"/>
          <w:sz w:val="26"/>
          <w:szCs w:val="26"/>
        </w:rPr>
        <w:t>d</w:t>
      </w:r>
      <w:r w:rsidR="003201D9">
        <w:rPr>
          <w:rFonts w:ascii="Bookman Old Style" w:hAnsi="Bookman Old Style" w:cs="Bookman Old Style"/>
          <w:snapToGrid w:val="0"/>
          <w:sz w:val="26"/>
          <w:szCs w:val="26"/>
        </w:rPr>
        <w:t>, citing</w:t>
      </w:r>
      <w:r w:rsidR="00E5177B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E5177B" w:rsidRPr="002E3024">
        <w:rPr>
          <w:rFonts w:ascii="Bookman Old Style" w:hAnsi="Bookman Old Style" w:cs="Bookman Old Style"/>
          <w:i/>
          <w:snapToGrid w:val="0"/>
          <w:sz w:val="26"/>
          <w:szCs w:val="26"/>
        </w:rPr>
        <w:t>Bendi</w:t>
      </w:r>
      <w:r w:rsidR="003B11DE">
        <w:rPr>
          <w:rFonts w:ascii="Bookman Old Style" w:hAnsi="Bookman Old Style" w:cs="Bookman Old Style"/>
          <w:i/>
          <w:snapToGrid w:val="0"/>
          <w:sz w:val="26"/>
          <w:szCs w:val="26"/>
        </w:rPr>
        <w:t>x Corp.</w:t>
      </w:r>
      <w:r w:rsidR="003201D9">
        <w:rPr>
          <w:rFonts w:ascii="Bookman Old Style" w:hAnsi="Bookman Old Style" w:cs="Bookman Old Style"/>
          <w:snapToGrid w:val="0"/>
          <w:sz w:val="26"/>
          <w:szCs w:val="26"/>
        </w:rPr>
        <w:t>, but</w:t>
      </w:r>
      <w:r w:rsidR="00E5177B">
        <w:rPr>
          <w:rFonts w:ascii="Bookman Old Style" w:hAnsi="Bookman Old Style" w:cs="Bookman Old Style"/>
          <w:snapToGrid w:val="0"/>
          <w:sz w:val="26"/>
          <w:szCs w:val="26"/>
        </w:rPr>
        <w:t xml:space="preserve"> not </w:t>
      </w:r>
      <w:r w:rsidR="00581028">
        <w:rPr>
          <w:rFonts w:ascii="Bookman Old Style" w:hAnsi="Bookman Old Style" w:cs="Bookman Old Style"/>
          <w:snapToGrid w:val="0"/>
          <w:sz w:val="26"/>
          <w:szCs w:val="26"/>
        </w:rPr>
        <w:t>acknowledg</w:t>
      </w:r>
      <w:r w:rsidR="003201D9">
        <w:rPr>
          <w:rFonts w:ascii="Bookman Old Style" w:hAnsi="Bookman Old Style" w:cs="Bookman Old Style"/>
          <w:snapToGrid w:val="0"/>
          <w:sz w:val="26"/>
          <w:szCs w:val="26"/>
        </w:rPr>
        <w:t>ing</w:t>
      </w:r>
      <w:r w:rsidR="00581028">
        <w:rPr>
          <w:rFonts w:ascii="Bookman Old Style" w:hAnsi="Bookman Old Style" w:cs="Bookman Old Style"/>
          <w:snapToGrid w:val="0"/>
          <w:sz w:val="26"/>
          <w:szCs w:val="26"/>
        </w:rPr>
        <w:t xml:space="preserve"> the </w:t>
      </w:r>
      <w:r w:rsidR="00E5177B">
        <w:rPr>
          <w:rFonts w:ascii="Bookman Old Style" w:hAnsi="Bookman Old Style" w:cs="Bookman Old Style"/>
          <w:snapToGrid w:val="0"/>
          <w:sz w:val="26"/>
          <w:szCs w:val="26"/>
        </w:rPr>
        <w:t xml:space="preserve">apparent </w:t>
      </w:r>
      <w:r w:rsidR="00581028">
        <w:rPr>
          <w:rFonts w:ascii="Bookman Old Style" w:hAnsi="Bookman Old Style" w:cs="Bookman Old Style"/>
          <w:snapToGrid w:val="0"/>
          <w:sz w:val="26"/>
          <w:szCs w:val="26"/>
        </w:rPr>
        <w:t xml:space="preserve">shift of the burden of proof on justification </w:t>
      </w:r>
      <w:r w:rsidR="005C5CA8">
        <w:rPr>
          <w:rFonts w:ascii="Bookman Old Style" w:hAnsi="Bookman Old Style" w:cs="Bookman Old Style"/>
          <w:snapToGrid w:val="0"/>
          <w:sz w:val="26"/>
          <w:szCs w:val="26"/>
        </w:rPr>
        <w:t xml:space="preserve">and privilege </w:t>
      </w:r>
      <w:r w:rsidR="00581028">
        <w:rPr>
          <w:rFonts w:ascii="Bookman Old Style" w:hAnsi="Bookman Old Style" w:cs="Bookman Old Style"/>
          <w:snapToGrid w:val="0"/>
          <w:sz w:val="26"/>
          <w:szCs w:val="26"/>
        </w:rPr>
        <w:t xml:space="preserve">from </w:t>
      </w:r>
      <w:r w:rsidR="009E3DE1">
        <w:rPr>
          <w:rFonts w:ascii="Bookman Old Style" w:hAnsi="Bookman Old Style" w:cs="Bookman Old Style"/>
          <w:snapToGrid w:val="0"/>
          <w:sz w:val="26"/>
          <w:szCs w:val="26"/>
        </w:rPr>
        <w:t xml:space="preserve">the </w:t>
      </w:r>
      <w:r w:rsidR="00581028">
        <w:rPr>
          <w:rFonts w:ascii="Bookman Old Style" w:hAnsi="Bookman Old Style" w:cs="Bookman Old Style"/>
          <w:snapToGrid w:val="0"/>
          <w:sz w:val="26"/>
          <w:szCs w:val="26"/>
        </w:rPr>
        <w:t xml:space="preserve">defendant to </w:t>
      </w:r>
      <w:r w:rsidR="009E3DE1">
        <w:rPr>
          <w:rFonts w:ascii="Bookman Old Style" w:hAnsi="Bookman Old Style" w:cs="Bookman Old Style"/>
          <w:snapToGrid w:val="0"/>
          <w:sz w:val="26"/>
          <w:szCs w:val="26"/>
        </w:rPr>
        <w:t xml:space="preserve">the </w:t>
      </w:r>
      <w:r w:rsidR="00581028">
        <w:rPr>
          <w:rFonts w:ascii="Bookman Old Style" w:hAnsi="Bookman Old Style" w:cs="Bookman Old Style"/>
          <w:snapToGrid w:val="0"/>
          <w:sz w:val="26"/>
          <w:szCs w:val="26"/>
        </w:rPr>
        <w:t>plaintiff.</w:t>
      </w:r>
      <w:r w:rsidR="00E5177B" w:rsidRPr="00E5177B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 </w:t>
      </w:r>
      <w:r w:rsidR="00FD3EA8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 </w:t>
      </w:r>
      <w:r w:rsidR="00E5177B">
        <w:rPr>
          <w:rFonts w:ascii="Bookman Old Style" w:hAnsi="Bookman Old Style" w:cs="Bookman Old Style"/>
          <w:i/>
          <w:snapToGrid w:val="0"/>
          <w:sz w:val="26"/>
          <w:szCs w:val="26"/>
        </w:rPr>
        <w:t>Id.</w:t>
      </w:r>
      <w:r w:rsidR="003201D9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EF3DAB" w:rsidRPr="003201D9">
        <w:rPr>
          <w:rFonts w:ascii="Bookman Old Style" w:hAnsi="Bookman Old Style" w:cs="Bookman Old Style"/>
          <w:snapToGrid w:val="0"/>
          <w:sz w:val="26"/>
          <w:szCs w:val="26"/>
        </w:rPr>
        <w:t>a</w:t>
      </w:r>
      <w:r w:rsidR="00517323" w:rsidRPr="003201D9">
        <w:rPr>
          <w:rFonts w:ascii="Bookman Old Style" w:hAnsi="Bookman Old Style" w:cs="Bookman Old Style"/>
          <w:snapToGrid w:val="0"/>
          <w:sz w:val="26"/>
          <w:szCs w:val="26"/>
        </w:rPr>
        <w:t>t 794</w:t>
      </w:r>
      <w:r w:rsidR="00517323">
        <w:rPr>
          <w:rFonts w:ascii="Bookman Old Style" w:hAnsi="Bookman Old Style" w:cs="Bookman Old Style"/>
          <w:i/>
          <w:snapToGrid w:val="0"/>
          <w:sz w:val="26"/>
          <w:szCs w:val="26"/>
        </w:rPr>
        <w:t>.</w:t>
      </w:r>
      <w:r w:rsidR="00581028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FD3EA8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662DB2">
        <w:rPr>
          <w:rFonts w:ascii="Bookman Old Style" w:hAnsi="Bookman Old Style" w:cs="Bookman Old Style"/>
          <w:snapToGrid w:val="0"/>
          <w:sz w:val="26"/>
          <w:szCs w:val="26"/>
        </w:rPr>
        <w:t>D</w:t>
      </w:r>
      <w:r w:rsidR="005C5CA8">
        <w:rPr>
          <w:rFonts w:ascii="Bookman Old Style" w:hAnsi="Bookman Old Style" w:cs="Bookman Old Style"/>
          <w:snapToGrid w:val="0"/>
          <w:sz w:val="26"/>
          <w:szCs w:val="26"/>
        </w:rPr>
        <w:t xml:space="preserve">ecisions </w:t>
      </w:r>
      <w:r w:rsidR="00662DB2">
        <w:rPr>
          <w:rFonts w:ascii="Bookman Old Style" w:hAnsi="Bookman Old Style" w:cs="Bookman Old Style"/>
          <w:snapToGrid w:val="0"/>
          <w:sz w:val="26"/>
          <w:szCs w:val="26"/>
        </w:rPr>
        <w:t>following</w:t>
      </w:r>
      <w:r w:rsidR="005C5CA8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5C5CA8" w:rsidRPr="0016101B">
        <w:rPr>
          <w:rFonts w:ascii="Bookman Old Style" w:hAnsi="Bookman Old Style" w:cs="Bookman Old Style"/>
          <w:i/>
          <w:snapToGrid w:val="0"/>
          <w:sz w:val="26"/>
          <w:szCs w:val="26"/>
        </w:rPr>
        <w:t>Knight</w:t>
      </w:r>
      <w:r w:rsidR="005C5CA8">
        <w:rPr>
          <w:rFonts w:ascii="Bookman Old Style" w:hAnsi="Bookman Old Style" w:cs="Bookman Old Style"/>
          <w:snapToGrid w:val="0"/>
          <w:sz w:val="26"/>
          <w:szCs w:val="26"/>
        </w:rPr>
        <w:t xml:space="preserve"> continue to </w:t>
      </w:r>
      <w:r w:rsidR="00B119E2">
        <w:rPr>
          <w:rFonts w:ascii="Bookman Old Style" w:hAnsi="Bookman Old Style" w:cs="Bookman Old Style"/>
          <w:snapToGrid w:val="0"/>
          <w:sz w:val="26"/>
          <w:szCs w:val="26"/>
        </w:rPr>
        <w:t>place the burden on the plaintiff.</w:t>
      </w:r>
      <w:r w:rsidR="00D5442B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FD3EA8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3201D9">
        <w:rPr>
          <w:rFonts w:ascii="Bookman Old Style" w:hAnsi="Bookman Old Style" w:cs="Bookman Old Style"/>
          <w:i/>
          <w:snapToGrid w:val="0"/>
          <w:sz w:val="26"/>
          <w:szCs w:val="26"/>
        </w:rPr>
        <w:t>See, e</w:t>
      </w:r>
      <w:r w:rsidR="00C659EB" w:rsidRPr="005529CD">
        <w:rPr>
          <w:rFonts w:ascii="Bookman Old Style" w:hAnsi="Bookman Old Style" w:cs="Bookman Old Style"/>
          <w:i/>
          <w:snapToGrid w:val="0"/>
          <w:sz w:val="26"/>
          <w:szCs w:val="26"/>
        </w:rPr>
        <w:t>.g.</w:t>
      </w:r>
      <w:r w:rsidR="00C659EB">
        <w:rPr>
          <w:rFonts w:ascii="Bookman Old Style" w:hAnsi="Bookman Old Style" w:cs="Bookman Old Style"/>
          <w:snapToGrid w:val="0"/>
          <w:sz w:val="26"/>
          <w:szCs w:val="26"/>
        </w:rPr>
        <w:t>,</w:t>
      </w:r>
      <w:r w:rsidR="00254969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2A7F70" w:rsidRPr="005529CD">
        <w:rPr>
          <w:rFonts w:ascii="Bookman Old Style" w:hAnsi="Bookman Old Style" w:cs="Bookman Old Style"/>
          <w:i/>
          <w:snapToGrid w:val="0"/>
          <w:sz w:val="26"/>
          <w:szCs w:val="26"/>
        </w:rPr>
        <w:t>Kinzel</w:t>
      </w:r>
      <w:r w:rsidR="00985F5A">
        <w:rPr>
          <w:rFonts w:ascii="Bookman Old Style" w:hAnsi="Bookman Old Style" w:cs="Bookman Old Style"/>
          <w:snapToGrid w:val="0"/>
          <w:sz w:val="26"/>
          <w:szCs w:val="26"/>
        </w:rPr>
        <w:t>,</w:t>
      </w:r>
      <w:r w:rsidR="002A7F70" w:rsidRPr="002A7F70">
        <w:rPr>
          <w:rFonts w:ascii="Bookman Old Style" w:hAnsi="Bookman Old Style" w:cs="Bookman Old Style"/>
          <w:snapToGrid w:val="0"/>
          <w:sz w:val="26"/>
          <w:szCs w:val="26"/>
        </w:rPr>
        <w:t xml:space="preserve"> 93 P.3d </w:t>
      </w:r>
      <w:r w:rsidR="00985F5A">
        <w:rPr>
          <w:rFonts w:ascii="Bookman Old Style" w:hAnsi="Bookman Old Style" w:cs="Bookman Old Style"/>
          <w:snapToGrid w:val="0"/>
          <w:sz w:val="26"/>
          <w:szCs w:val="26"/>
        </w:rPr>
        <w:t>at</w:t>
      </w:r>
      <w:r w:rsidR="002A7F70" w:rsidRPr="002A7F70">
        <w:rPr>
          <w:rFonts w:ascii="Bookman Old Style" w:hAnsi="Bookman Old Style" w:cs="Bookman Old Style"/>
          <w:snapToGrid w:val="0"/>
          <w:sz w:val="26"/>
          <w:szCs w:val="26"/>
        </w:rPr>
        <w:t xml:space="preserve"> 443</w:t>
      </w:r>
      <w:r w:rsidR="00667B3D">
        <w:rPr>
          <w:rFonts w:ascii="Bookman Old Style" w:hAnsi="Bookman Old Style" w:cs="Bookman Old Style"/>
          <w:snapToGrid w:val="0"/>
          <w:sz w:val="26"/>
          <w:szCs w:val="26"/>
        </w:rPr>
        <w:t xml:space="preserve"> (“[A] plaintiff must prove: . . . defendant’s conduct was not privileged”)</w:t>
      </w:r>
      <w:r w:rsidR="002A7F70">
        <w:rPr>
          <w:rFonts w:ascii="Bookman Old Style" w:hAnsi="Bookman Old Style" w:cs="Bookman Old Style"/>
          <w:snapToGrid w:val="0"/>
          <w:sz w:val="26"/>
          <w:szCs w:val="26"/>
        </w:rPr>
        <w:t xml:space="preserve">; </w:t>
      </w:r>
      <w:r w:rsidR="00F1252D" w:rsidRPr="005529CD">
        <w:rPr>
          <w:rFonts w:ascii="Bookman Old Style" w:hAnsi="Bookman Old Style" w:cs="Bookman Old Style"/>
          <w:i/>
          <w:snapToGrid w:val="0"/>
          <w:sz w:val="26"/>
          <w:szCs w:val="26"/>
        </w:rPr>
        <w:t>K &amp; K Recycling, Inc.</w:t>
      </w:r>
      <w:r w:rsidR="003201D9">
        <w:rPr>
          <w:rFonts w:ascii="Bookman Old Style" w:hAnsi="Bookman Old Style" w:cs="Bookman Old Style"/>
          <w:snapToGrid w:val="0"/>
          <w:sz w:val="26"/>
          <w:szCs w:val="26"/>
        </w:rPr>
        <w:t xml:space="preserve">, </w:t>
      </w:r>
      <w:r w:rsidR="00F1252D" w:rsidRPr="00F1252D">
        <w:rPr>
          <w:rFonts w:ascii="Bookman Old Style" w:hAnsi="Bookman Old Style" w:cs="Bookman Old Style"/>
          <w:snapToGrid w:val="0"/>
          <w:sz w:val="26"/>
          <w:szCs w:val="26"/>
        </w:rPr>
        <w:t xml:space="preserve">80 P.3d </w:t>
      </w:r>
      <w:r w:rsidR="005F2927">
        <w:rPr>
          <w:rFonts w:ascii="Bookman Old Style" w:hAnsi="Bookman Old Style" w:cs="Bookman Old Style"/>
          <w:snapToGrid w:val="0"/>
          <w:sz w:val="26"/>
          <w:szCs w:val="26"/>
        </w:rPr>
        <w:t>at</w:t>
      </w:r>
      <w:r w:rsidR="00F1252D" w:rsidRPr="00F1252D">
        <w:rPr>
          <w:rFonts w:ascii="Bookman Old Style" w:hAnsi="Bookman Old Style" w:cs="Bookman Old Style"/>
          <w:snapToGrid w:val="0"/>
          <w:sz w:val="26"/>
          <w:szCs w:val="26"/>
        </w:rPr>
        <w:t xml:space="preserve"> 717</w:t>
      </w:r>
      <w:r w:rsidR="00C61312">
        <w:rPr>
          <w:rFonts w:ascii="Bookman Old Style" w:hAnsi="Bookman Old Style" w:cs="Bookman Old Style"/>
          <w:snapToGrid w:val="0"/>
          <w:sz w:val="26"/>
          <w:szCs w:val="26"/>
        </w:rPr>
        <w:t xml:space="preserve"> (“[A] plaintiff must </w:t>
      </w:r>
      <w:r w:rsidR="00667B3D">
        <w:rPr>
          <w:rFonts w:ascii="Bookman Old Style" w:hAnsi="Bookman Old Style" w:cs="Bookman Old Style"/>
          <w:snapToGrid w:val="0"/>
          <w:sz w:val="26"/>
          <w:szCs w:val="26"/>
        </w:rPr>
        <w:t>show</w:t>
      </w:r>
      <w:r w:rsidR="00C61312">
        <w:rPr>
          <w:rFonts w:ascii="Bookman Old Style" w:hAnsi="Bookman Old Style" w:cs="Bookman Old Style"/>
          <w:snapToGrid w:val="0"/>
          <w:sz w:val="26"/>
          <w:szCs w:val="26"/>
        </w:rPr>
        <w:t xml:space="preserve">: . . . </w:t>
      </w:r>
      <w:r w:rsidR="00667B3D" w:rsidRPr="00667B3D">
        <w:rPr>
          <w:rFonts w:ascii="Bookman Old Style" w:hAnsi="Bookman Old Style" w:cs="Bookman Old Style"/>
          <w:snapToGrid w:val="0"/>
          <w:sz w:val="26"/>
          <w:szCs w:val="26"/>
        </w:rPr>
        <w:t>absence of privilege or justification for the defendant's conduct</w:t>
      </w:r>
      <w:r w:rsidR="00C61312">
        <w:rPr>
          <w:rFonts w:ascii="Bookman Old Style" w:hAnsi="Bookman Old Style" w:cs="Bookman Old Style"/>
          <w:snapToGrid w:val="0"/>
          <w:sz w:val="26"/>
          <w:szCs w:val="26"/>
        </w:rPr>
        <w:t>”)</w:t>
      </w:r>
      <w:r w:rsidR="00B26658">
        <w:rPr>
          <w:rFonts w:ascii="Bookman Old Style" w:hAnsi="Bookman Old Style" w:cs="Bookman Old Style"/>
          <w:snapToGrid w:val="0"/>
          <w:sz w:val="26"/>
          <w:szCs w:val="26"/>
        </w:rPr>
        <w:t xml:space="preserve">. </w:t>
      </w:r>
      <w:r w:rsidR="00FD3EA8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667B3D">
        <w:rPr>
          <w:rFonts w:ascii="Bookman Old Style" w:hAnsi="Bookman Old Style" w:cs="Bookman Old Style"/>
          <w:snapToGrid w:val="0"/>
          <w:sz w:val="26"/>
          <w:szCs w:val="26"/>
        </w:rPr>
        <w:t xml:space="preserve">The same rule applies in the closely related tort of intentional interference with prospective economic advantage. </w:t>
      </w:r>
      <w:r w:rsidR="00FD3EA8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C61312">
        <w:rPr>
          <w:rFonts w:ascii="Bookman Old Style" w:hAnsi="Bookman Old Style" w:cs="Bookman Old Style"/>
          <w:i/>
          <w:snapToGrid w:val="0"/>
          <w:sz w:val="26"/>
          <w:szCs w:val="26"/>
        </w:rPr>
        <w:t>Sisters of Providence</w:t>
      </w:r>
      <w:r w:rsidR="00D93A7B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 i</w:t>
      </w:r>
      <w:r w:rsidR="00C61312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n Washington, </w:t>
      </w:r>
      <w:r w:rsidR="00C61312">
        <w:rPr>
          <w:rFonts w:ascii="Bookman Old Style" w:hAnsi="Bookman Old Style" w:cs="Bookman Old Style"/>
          <w:snapToGrid w:val="0"/>
          <w:sz w:val="26"/>
          <w:szCs w:val="26"/>
        </w:rPr>
        <w:t xml:space="preserve">81 P.3d </w:t>
      </w:r>
      <w:r w:rsidR="00EF3DAB">
        <w:rPr>
          <w:rFonts w:ascii="Bookman Old Style" w:hAnsi="Bookman Old Style" w:cs="Bookman Old Style"/>
          <w:snapToGrid w:val="0"/>
          <w:sz w:val="26"/>
          <w:szCs w:val="26"/>
        </w:rPr>
        <w:t>at 1000</w:t>
      </w:r>
      <w:r w:rsidR="007244A2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533362">
        <w:rPr>
          <w:rFonts w:ascii="Bookman Old Style" w:hAnsi="Bookman Old Style" w:cs="Bookman Old Style"/>
          <w:snapToGrid w:val="0"/>
          <w:sz w:val="26"/>
          <w:szCs w:val="26"/>
        </w:rPr>
        <w:t>(“</w:t>
      </w:r>
      <w:r w:rsidR="00EF3DAB">
        <w:rPr>
          <w:rFonts w:ascii="Bookman Old Style" w:hAnsi="Bookman Old Style" w:cs="Bookman Old Style"/>
          <w:snapToGrid w:val="0"/>
          <w:sz w:val="26"/>
          <w:szCs w:val="26"/>
        </w:rPr>
        <w:t>[T]</w:t>
      </w:r>
      <w:r w:rsidR="001B7A8C" w:rsidRPr="001B7A8C">
        <w:rPr>
          <w:rFonts w:ascii="Bookman Old Style" w:hAnsi="Bookman Old Style" w:cs="Bookman Old Style"/>
          <w:snapToGrid w:val="0"/>
          <w:sz w:val="26"/>
          <w:szCs w:val="26"/>
        </w:rPr>
        <w:t>he superior court correctly instructed the jury that plaintiffs had the burden of proving the Group's actions were not privileged</w:t>
      </w:r>
      <w:r w:rsidR="00EF3DAB">
        <w:rPr>
          <w:rFonts w:ascii="Bookman Old Style" w:hAnsi="Bookman Old Style" w:cs="Bookman Old Style"/>
          <w:snapToGrid w:val="0"/>
          <w:sz w:val="26"/>
          <w:szCs w:val="26"/>
        </w:rPr>
        <w:t>”</w:t>
      </w:r>
      <w:r w:rsidR="00533362">
        <w:rPr>
          <w:rFonts w:ascii="Bookman Old Style" w:hAnsi="Bookman Old Style" w:cs="Bookman Old Style"/>
          <w:snapToGrid w:val="0"/>
          <w:sz w:val="26"/>
          <w:szCs w:val="26"/>
        </w:rPr>
        <w:t>).</w:t>
      </w:r>
    </w:p>
    <w:p w:rsidR="00936FDF" w:rsidRPr="00D616DD" w:rsidRDefault="00936FDF" w:rsidP="00FB1FCD">
      <w:pPr>
        <w:widowControl w:val="0"/>
        <w:adjustRightInd w:val="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sectPr w:rsidR="00936FDF" w:rsidRPr="00D616DD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DF" w:rsidRDefault="00421FDF">
      <w:r>
        <w:separator/>
      </w:r>
    </w:p>
  </w:endnote>
  <w:endnote w:type="continuationSeparator" w:id="0">
    <w:p w:rsidR="00421FDF" w:rsidRDefault="0042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5DD" w:rsidRPr="00413F56" w:rsidRDefault="00D615DD">
    <w:pPr>
      <w:pStyle w:val="Footer"/>
      <w:tabs>
        <w:tab w:val="clear" w:pos="8640"/>
        <w:tab w:val="right" w:pos="9180"/>
      </w:tabs>
      <w:rPr>
        <w:rFonts w:ascii="Bookman Old Style" w:hAnsi="Bookman Old Style" w:cs="Bookman Old Style"/>
        <w:sz w:val="26"/>
        <w:szCs w:val="26"/>
      </w:rPr>
    </w:pPr>
    <w:r w:rsidRPr="00413F56">
      <w:rPr>
        <w:rFonts w:ascii="Bookman Old Style" w:hAnsi="Bookman Old Style" w:cs="Bookman Old Style"/>
        <w:sz w:val="26"/>
        <w:szCs w:val="26"/>
      </w:rPr>
      <w:t>Revised 2012</w:t>
    </w:r>
    <w:r w:rsidRPr="00413F56">
      <w:rPr>
        <w:rFonts w:ascii="Bookman Old Style" w:hAnsi="Bookman Old Style" w:cs="Bookman Old Style"/>
        <w:sz w:val="26"/>
        <w:szCs w:val="26"/>
      </w:rPr>
      <w:tab/>
    </w:r>
    <w:r w:rsidRPr="00413F56">
      <w:rPr>
        <w:rFonts w:ascii="Bookman Old Style" w:hAnsi="Bookman Old Style" w:cs="Bookman Old Style"/>
        <w:sz w:val="26"/>
        <w:szCs w:val="26"/>
      </w:rPr>
      <w:tab/>
      <w:t xml:space="preserve">19.01A – </w:t>
    </w:r>
    <w:r w:rsidRPr="00413F56">
      <w:rPr>
        <w:rStyle w:val="PageNumber"/>
        <w:rFonts w:ascii="Bookman Old Style" w:hAnsi="Bookman Old Style" w:cs="Bookman Old Style"/>
        <w:sz w:val="26"/>
        <w:szCs w:val="26"/>
      </w:rPr>
      <w:fldChar w:fldCharType="begin"/>
    </w:r>
    <w:r w:rsidRPr="00413F56">
      <w:rPr>
        <w:rStyle w:val="PageNumber"/>
        <w:rFonts w:ascii="Bookman Old Style" w:hAnsi="Bookman Old Style" w:cs="Bookman Old Style"/>
        <w:sz w:val="26"/>
        <w:szCs w:val="26"/>
      </w:rPr>
      <w:instrText xml:space="preserve"> PAGE </w:instrText>
    </w:r>
    <w:r w:rsidRPr="00413F56">
      <w:rPr>
        <w:rStyle w:val="PageNumber"/>
        <w:rFonts w:ascii="Bookman Old Style" w:hAnsi="Bookman Old Style" w:cs="Bookman Old Style"/>
        <w:sz w:val="26"/>
        <w:szCs w:val="26"/>
      </w:rPr>
      <w:fldChar w:fldCharType="separate"/>
    </w:r>
    <w:r w:rsidR="0020427B">
      <w:rPr>
        <w:rStyle w:val="PageNumber"/>
        <w:rFonts w:ascii="Bookman Old Style" w:hAnsi="Bookman Old Style" w:cs="Bookman Old Style"/>
        <w:noProof/>
        <w:sz w:val="26"/>
        <w:szCs w:val="26"/>
      </w:rPr>
      <w:t>1</w:t>
    </w:r>
    <w:r w:rsidRPr="00413F56">
      <w:rPr>
        <w:rStyle w:val="PageNumber"/>
        <w:rFonts w:ascii="Bookman Old Style" w:hAnsi="Bookman Old Style" w:cs="Bookman Old Style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DF" w:rsidRDefault="00421FDF">
      <w:r>
        <w:separator/>
      </w:r>
    </w:p>
  </w:footnote>
  <w:footnote w:type="continuationSeparator" w:id="0">
    <w:p w:rsidR="00421FDF" w:rsidRDefault="00421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39"/>
    <w:rsid w:val="00002B5F"/>
    <w:rsid w:val="0000301B"/>
    <w:rsid w:val="00023236"/>
    <w:rsid w:val="00025EC9"/>
    <w:rsid w:val="00027004"/>
    <w:rsid w:val="00031B2D"/>
    <w:rsid w:val="00036826"/>
    <w:rsid w:val="0005039C"/>
    <w:rsid w:val="00051FCE"/>
    <w:rsid w:val="0006112D"/>
    <w:rsid w:val="000650C8"/>
    <w:rsid w:val="00067852"/>
    <w:rsid w:val="00083AC5"/>
    <w:rsid w:val="00084796"/>
    <w:rsid w:val="00096894"/>
    <w:rsid w:val="000A53ED"/>
    <w:rsid w:val="000A6F72"/>
    <w:rsid w:val="000A783B"/>
    <w:rsid w:val="000C014F"/>
    <w:rsid w:val="000C5140"/>
    <w:rsid w:val="000E503B"/>
    <w:rsid w:val="00103B65"/>
    <w:rsid w:val="001123B0"/>
    <w:rsid w:val="00122C2C"/>
    <w:rsid w:val="001256A4"/>
    <w:rsid w:val="0012663E"/>
    <w:rsid w:val="0013716A"/>
    <w:rsid w:val="00142E6E"/>
    <w:rsid w:val="00142F00"/>
    <w:rsid w:val="00151195"/>
    <w:rsid w:val="00157090"/>
    <w:rsid w:val="0015753B"/>
    <w:rsid w:val="0016052E"/>
    <w:rsid w:val="0016101B"/>
    <w:rsid w:val="0016628E"/>
    <w:rsid w:val="00166982"/>
    <w:rsid w:val="001766FC"/>
    <w:rsid w:val="001867F3"/>
    <w:rsid w:val="00190808"/>
    <w:rsid w:val="001A3409"/>
    <w:rsid w:val="001A6A5E"/>
    <w:rsid w:val="001A6CAB"/>
    <w:rsid w:val="001B3450"/>
    <w:rsid w:val="001B7A8C"/>
    <w:rsid w:val="001C572E"/>
    <w:rsid w:val="0020281E"/>
    <w:rsid w:val="0020427B"/>
    <w:rsid w:val="002244ED"/>
    <w:rsid w:val="00230021"/>
    <w:rsid w:val="0023349A"/>
    <w:rsid w:val="00245BC8"/>
    <w:rsid w:val="00250FB1"/>
    <w:rsid w:val="00254969"/>
    <w:rsid w:val="00283C90"/>
    <w:rsid w:val="002A04B7"/>
    <w:rsid w:val="002A7C8C"/>
    <w:rsid w:val="002A7F70"/>
    <w:rsid w:val="002B5288"/>
    <w:rsid w:val="002B74C0"/>
    <w:rsid w:val="002E3024"/>
    <w:rsid w:val="002E6190"/>
    <w:rsid w:val="002F67BF"/>
    <w:rsid w:val="002F7E25"/>
    <w:rsid w:val="00301647"/>
    <w:rsid w:val="00306345"/>
    <w:rsid w:val="003201D9"/>
    <w:rsid w:val="00322D27"/>
    <w:rsid w:val="00332B38"/>
    <w:rsid w:val="00343A04"/>
    <w:rsid w:val="00357DEF"/>
    <w:rsid w:val="00363FA5"/>
    <w:rsid w:val="003661FB"/>
    <w:rsid w:val="003767D3"/>
    <w:rsid w:val="00386CE1"/>
    <w:rsid w:val="003B11DE"/>
    <w:rsid w:val="003B7086"/>
    <w:rsid w:val="003D631B"/>
    <w:rsid w:val="003D7C71"/>
    <w:rsid w:val="00413F56"/>
    <w:rsid w:val="00421FDF"/>
    <w:rsid w:val="00422572"/>
    <w:rsid w:val="00422702"/>
    <w:rsid w:val="0044597F"/>
    <w:rsid w:val="00447718"/>
    <w:rsid w:val="0046044A"/>
    <w:rsid w:val="00474224"/>
    <w:rsid w:val="00480851"/>
    <w:rsid w:val="00497ADF"/>
    <w:rsid w:val="004D28A9"/>
    <w:rsid w:val="004D5467"/>
    <w:rsid w:val="005065B6"/>
    <w:rsid w:val="00514A33"/>
    <w:rsid w:val="00517323"/>
    <w:rsid w:val="00532414"/>
    <w:rsid w:val="00533362"/>
    <w:rsid w:val="0053417F"/>
    <w:rsid w:val="0054460F"/>
    <w:rsid w:val="005472F0"/>
    <w:rsid w:val="005501A5"/>
    <w:rsid w:val="005529CD"/>
    <w:rsid w:val="00555B2F"/>
    <w:rsid w:val="0056027A"/>
    <w:rsid w:val="00563DC7"/>
    <w:rsid w:val="00573F04"/>
    <w:rsid w:val="00581028"/>
    <w:rsid w:val="0058510A"/>
    <w:rsid w:val="00593B36"/>
    <w:rsid w:val="005B0539"/>
    <w:rsid w:val="005B0DE5"/>
    <w:rsid w:val="005B2D88"/>
    <w:rsid w:val="005B57D0"/>
    <w:rsid w:val="005B5A3A"/>
    <w:rsid w:val="005C02B0"/>
    <w:rsid w:val="005C340D"/>
    <w:rsid w:val="005C5CA8"/>
    <w:rsid w:val="005D6D30"/>
    <w:rsid w:val="005E5101"/>
    <w:rsid w:val="005E634E"/>
    <w:rsid w:val="005F2927"/>
    <w:rsid w:val="00604030"/>
    <w:rsid w:val="00611D48"/>
    <w:rsid w:val="00625AAE"/>
    <w:rsid w:val="00631BB7"/>
    <w:rsid w:val="0063463A"/>
    <w:rsid w:val="00635CF0"/>
    <w:rsid w:val="00652F75"/>
    <w:rsid w:val="00653BF2"/>
    <w:rsid w:val="00656FBA"/>
    <w:rsid w:val="00662DB2"/>
    <w:rsid w:val="00667B3D"/>
    <w:rsid w:val="00667EA7"/>
    <w:rsid w:val="00671B05"/>
    <w:rsid w:val="006936D8"/>
    <w:rsid w:val="00693BF1"/>
    <w:rsid w:val="006B03FB"/>
    <w:rsid w:val="006B363A"/>
    <w:rsid w:val="006D6E77"/>
    <w:rsid w:val="006E0729"/>
    <w:rsid w:val="006F1629"/>
    <w:rsid w:val="007148C5"/>
    <w:rsid w:val="00722E61"/>
    <w:rsid w:val="007244A2"/>
    <w:rsid w:val="00727BF2"/>
    <w:rsid w:val="007335DD"/>
    <w:rsid w:val="00734173"/>
    <w:rsid w:val="00747FF1"/>
    <w:rsid w:val="00761016"/>
    <w:rsid w:val="00772E13"/>
    <w:rsid w:val="0078543E"/>
    <w:rsid w:val="00786A0E"/>
    <w:rsid w:val="00794426"/>
    <w:rsid w:val="0079522F"/>
    <w:rsid w:val="007A0550"/>
    <w:rsid w:val="007A1822"/>
    <w:rsid w:val="007A3CDE"/>
    <w:rsid w:val="007B5C5B"/>
    <w:rsid w:val="007B7A6F"/>
    <w:rsid w:val="007C0F97"/>
    <w:rsid w:val="007D0743"/>
    <w:rsid w:val="007E6F79"/>
    <w:rsid w:val="007E7039"/>
    <w:rsid w:val="007F0363"/>
    <w:rsid w:val="007F1FC6"/>
    <w:rsid w:val="007F798D"/>
    <w:rsid w:val="008105AD"/>
    <w:rsid w:val="008169CE"/>
    <w:rsid w:val="00816CC9"/>
    <w:rsid w:val="00830B7D"/>
    <w:rsid w:val="00833CBF"/>
    <w:rsid w:val="008615AC"/>
    <w:rsid w:val="00865BA1"/>
    <w:rsid w:val="00880757"/>
    <w:rsid w:val="00880E79"/>
    <w:rsid w:val="008B480B"/>
    <w:rsid w:val="008D27C9"/>
    <w:rsid w:val="008D5236"/>
    <w:rsid w:val="008D743C"/>
    <w:rsid w:val="00903BBB"/>
    <w:rsid w:val="00905206"/>
    <w:rsid w:val="00906F61"/>
    <w:rsid w:val="0092031D"/>
    <w:rsid w:val="009206AF"/>
    <w:rsid w:val="009324B1"/>
    <w:rsid w:val="00936FDF"/>
    <w:rsid w:val="00947137"/>
    <w:rsid w:val="00950D76"/>
    <w:rsid w:val="00952F82"/>
    <w:rsid w:val="00954BD2"/>
    <w:rsid w:val="00967177"/>
    <w:rsid w:val="00985F5A"/>
    <w:rsid w:val="00997080"/>
    <w:rsid w:val="009B0473"/>
    <w:rsid w:val="009B1564"/>
    <w:rsid w:val="009C3214"/>
    <w:rsid w:val="009C69F5"/>
    <w:rsid w:val="009D25A4"/>
    <w:rsid w:val="009E3DE1"/>
    <w:rsid w:val="00A06802"/>
    <w:rsid w:val="00A23EEE"/>
    <w:rsid w:val="00A36869"/>
    <w:rsid w:val="00A44585"/>
    <w:rsid w:val="00A56184"/>
    <w:rsid w:val="00A602B3"/>
    <w:rsid w:val="00A743ED"/>
    <w:rsid w:val="00A90E8C"/>
    <w:rsid w:val="00A93BF5"/>
    <w:rsid w:val="00AB0804"/>
    <w:rsid w:val="00AC1198"/>
    <w:rsid w:val="00AC3FD8"/>
    <w:rsid w:val="00AC60B9"/>
    <w:rsid w:val="00AF73A5"/>
    <w:rsid w:val="00B05E96"/>
    <w:rsid w:val="00B07A7B"/>
    <w:rsid w:val="00B119E2"/>
    <w:rsid w:val="00B21D63"/>
    <w:rsid w:val="00B26658"/>
    <w:rsid w:val="00B31141"/>
    <w:rsid w:val="00B367F7"/>
    <w:rsid w:val="00B42667"/>
    <w:rsid w:val="00B44A64"/>
    <w:rsid w:val="00B47A49"/>
    <w:rsid w:val="00B54818"/>
    <w:rsid w:val="00B661E0"/>
    <w:rsid w:val="00B83466"/>
    <w:rsid w:val="00B900A0"/>
    <w:rsid w:val="00B93A1D"/>
    <w:rsid w:val="00BA3EF2"/>
    <w:rsid w:val="00BA5D7A"/>
    <w:rsid w:val="00BC62B8"/>
    <w:rsid w:val="00BF21DA"/>
    <w:rsid w:val="00C00B03"/>
    <w:rsid w:val="00C13E10"/>
    <w:rsid w:val="00C219D0"/>
    <w:rsid w:val="00C40618"/>
    <w:rsid w:val="00C44958"/>
    <w:rsid w:val="00C535D0"/>
    <w:rsid w:val="00C55C75"/>
    <w:rsid w:val="00C61312"/>
    <w:rsid w:val="00C659EB"/>
    <w:rsid w:val="00C74EBD"/>
    <w:rsid w:val="00C873AC"/>
    <w:rsid w:val="00CA49C1"/>
    <w:rsid w:val="00CA54A0"/>
    <w:rsid w:val="00CA5822"/>
    <w:rsid w:val="00CD5596"/>
    <w:rsid w:val="00CE7B28"/>
    <w:rsid w:val="00CF112E"/>
    <w:rsid w:val="00CF3386"/>
    <w:rsid w:val="00D00F3C"/>
    <w:rsid w:val="00D070CD"/>
    <w:rsid w:val="00D5442B"/>
    <w:rsid w:val="00D615DD"/>
    <w:rsid w:val="00D616DD"/>
    <w:rsid w:val="00D674FD"/>
    <w:rsid w:val="00D75262"/>
    <w:rsid w:val="00D80105"/>
    <w:rsid w:val="00D852F2"/>
    <w:rsid w:val="00D93A7B"/>
    <w:rsid w:val="00D96C52"/>
    <w:rsid w:val="00DA18AC"/>
    <w:rsid w:val="00DB0214"/>
    <w:rsid w:val="00DB42B6"/>
    <w:rsid w:val="00DB4F86"/>
    <w:rsid w:val="00DB643F"/>
    <w:rsid w:val="00DD776E"/>
    <w:rsid w:val="00DF2A32"/>
    <w:rsid w:val="00DF4CEC"/>
    <w:rsid w:val="00E05188"/>
    <w:rsid w:val="00E0572E"/>
    <w:rsid w:val="00E14EB1"/>
    <w:rsid w:val="00E16195"/>
    <w:rsid w:val="00E25905"/>
    <w:rsid w:val="00E40CE5"/>
    <w:rsid w:val="00E5177B"/>
    <w:rsid w:val="00E7068A"/>
    <w:rsid w:val="00E81B3A"/>
    <w:rsid w:val="00EB33D4"/>
    <w:rsid w:val="00EB7540"/>
    <w:rsid w:val="00ED439E"/>
    <w:rsid w:val="00EF3DAB"/>
    <w:rsid w:val="00F04037"/>
    <w:rsid w:val="00F1252D"/>
    <w:rsid w:val="00F15D54"/>
    <w:rsid w:val="00F2221C"/>
    <w:rsid w:val="00F30874"/>
    <w:rsid w:val="00F41C57"/>
    <w:rsid w:val="00F45123"/>
    <w:rsid w:val="00F57974"/>
    <w:rsid w:val="00F73181"/>
    <w:rsid w:val="00F852CF"/>
    <w:rsid w:val="00F87F53"/>
    <w:rsid w:val="00F90CAF"/>
    <w:rsid w:val="00FA0D51"/>
    <w:rsid w:val="00FA189A"/>
    <w:rsid w:val="00FA1E8F"/>
    <w:rsid w:val="00FB1FCD"/>
    <w:rsid w:val="00FD3EA8"/>
    <w:rsid w:val="00FF300E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both"/>
      <w:outlineLvl w:val="0"/>
    </w:pPr>
    <w:rPr>
      <w:rFonts w:ascii="Bookman Old Style" w:hAnsi="Bookman Old Style" w:cs="Bookman Old Style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right" w:pos="1237"/>
      </w:tabs>
      <w:jc w:val="center"/>
      <w:outlineLvl w:val="1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480" w:lineRule="atLeast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widowControl w:val="0"/>
      <w:ind w:left="1440" w:hanging="1440"/>
    </w:pPr>
    <w:rPr>
      <w:rFonts w:ascii="Bookman Old Style" w:hAnsi="Bookman Old Style" w:cs="Bookman Old Style"/>
      <w:b/>
      <w:bCs/>
      <w:sz w:val="26"/>
      <w:szCs w:val="26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spacing w:line="480" w:lineRule="atLeast"/>
      <w:ind w:left="720" w:hanging="720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1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1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both"/>
      <w:outlineLvl w:val="0"/>
    </w:pPr>
    <w:rPr>
      <w:rFonts w:ascii="Bookman Old Style" w:hAnsi="Bookman Old Style" w:cs="Bookman Old Style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right" w:pos="1237"/>
      </w:tabs>
      <w:jc w:val="center"/>
      <w:outlineLvl w:val="1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480" w:lineRule="atLeast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widowControl w:val="0"/>
      <w:ind w:left="1440" w:hanging="1440"/>
    </w:pPr>
    <w:rPr>
      <w:rFonts w:ascii="Bookman Old Style" w:hAnsi="Bookman Old Style" w:cs="Bookman Old Style"/>
      <w:b/>
      <w:bCs/>
      <w:sz w:val="26"/>
      <w:szCs w:val="26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spacing w:line="480" w:lineRule="atLeast"/>
      <w:ind w:left="720" w:hanging="720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1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1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7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>Alaska Court System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korzechowski</dc:creator>
  <cp:keywords/>
  <dc:description/>
  <cp:lastModifiedBy>Michael Merrington</cp:lastModifiedBy>
  <cp:revision>3</cp:revision>
  <cp:lastPrinted>2012-02-08T17:09:00Z</cp:lastPrinted>
  <dcterms:created xsi:type="dcterms:W3CDTF">2017-04-04T18:50:00Z</dcterms:created>
  <dcterms:modified xsi:type="dcterms:W3CDTF">2017-04-04T18:50:00Z</dcterms:modified>
</cp:coreProperties>
</file>