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67" w:rsidRDefault="009C0D67" w:rsidP="004A1E6B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</w:tabs>
        <w:jc w:val="both"/>
      </w:pPr>
      <w:bookmarkStart w:id="0" w:name="_GoBack"/>
      <w:bookmarkEnd w:id="0"/>
      <w:r>
        <w:t>19.03</w:t>
      </w:r>
      <w:r>
        <w:tab/>
        <w:t>INTENTIONAL INTERFERENCE WITH CONTRACT</w:t>
      </w:r>
      <w:r w:rsidR="00BF7A70">
        <w:t xml:space="preserve"> OR</w:t>
      </w:r>
      <w:r w:rsidR="00CC2ED2">
        <w:t xml:space="preserve"> </w:t>
      </w:r>
      <w:r w:rsidR="00035A12">
        <w:t>PROSPECTIVE ECONOMIC ADVANTAGE</w:t>
      </w:r>
      <w:r w:rsidR="003E1973">
        <w:t xml:space="preserve"> – JUSTIFICATION AND PRIVIL</w:t>
      </w:r>
      <w:r w:rsidR="004A1E6B">
        <w:t>E</w:t>
      </w:r>
      <w:r w:rsidR="003E1973">
        <w:t>GE</w:t>
      </w:r>
    </w:p>
    <w:p w:rsidR="009C0D67" w:rsidRDefault="009C0D67" w:rsidP="004A1E6B">
      <w:pPr>
        <w:widowControl w:val="0"/>
        <w:spacing w:line="360" w:lineRule="auto"/>
        <w:ind w:left="1440" w:hanging="1440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9C0D67" w:rsidRDefault="009C0D67" w:rsidP="004A1E6B">
      <w:pPr>
        <w:widowControl w:val="0"/>
        <w:spacing w:line="360" w:lineRule="auto"/>
        <w:jc w:val="center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9C0D67" w:rsidRDefault="00146367" w:rsidP="004A1E6B">
      <w:pPr>
        <w:widowControl w:val="0"/>
        <w:spacing w:line="360" w:lineRule="auto"/>
        <w:jc w:val="both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>The plaintiff claims that the defendant’s conduct was not privileged or justified.</w:t>
      </w:r>
      <w:r w:rsidR="006F2084">
        <w:rPr>
          <w:rFonts w:ascii="Bookman Old Style" w:hAnsi="Bookman Old Style" w:cs="Bookman Old Style"/>
          <w:sz w:val="26"/>
          <w:szCs w:val="26"/>
        </w:rPr>
        <w:t xml:space="preserve">  </w:t>
      </w:r>
    </w:p>
    <w:p w:rsidR="0060260A" w:rsidRDefault="0060260A" w:rsidP="004A1E6B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82292D" w:rsidRDefault="0082292D" w:rsidP="004A1E6B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In order for the plaintiff to prevail, you must decide </w:t>
      </w:r>
      <w:r w:rsidR="00356B23">
        <w:rPr>
          <w:rFonts w:ascii="Bookman Old Style" w:hAnsi="Bookman Old Style" w:cs="Bookman Old Style"/>
          <w:snapToGrid w:val="0"/>
          <w:sz w:val="26"/>
          <w:szCs w:val="26"/>
        </w:rPr>
        <w:t xml:space="preserve">that 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one of the following statements is more likely true than not true: </w:t>
      </w:r>
    </w:p>
    <w:p w:rsidR="0082292D" w:rsidRDefault="0082292D" w:rsidP="004A1E6B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82292D" w:rsidRDefault="0082292D" w:rsidP="004A1E6B">
      <w:pPr>
        <w:widowControl w:val="0"/>
        <w:numPr>
          <w:ilvl w:val="0"/>
          <w:numId w:val="5"/>
        </w:numPr>
        <w:spacing w:line="360" w:lineRule="auto"/>
        <w:ind w:hanging="72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the defendant’s conduct was primarily motivated by something other than [protection of [his][her][its] economic interests] [safety concerns]; or </w:t>
      </w:r>
    </w:p>
    <w:p w:rsidR="00CD34EF" w:rsidRDefault="00CD34EF" w:rsidP="004A1E6B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82292D" w:rsidRDefault="004A1E6B" w:rsidP="004A1E6B">
      <w:pPr>
        <w:widowControl w:val="0"/>
        <w:spacing w:line="360" w:lineRule="auto"/>
        <w:ind w:left="720" w:hanging="72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(2)</w:t>
      </w:r>
      <w:r w:rsidR="0068064D">
        <w:rPr>
          <w:rFonts w:ascii="Bookman Old Style" w:hAnsi="Bookman Old Style" w:cs="Bookman Old Style"/>
          <w:snapToGrid w:val="0"/>
          <w:sz w:val="26"/>
          <w:szCs w:val="26"/>
        </w:rPr>
        <w:tab/>
      </w:r>
      <w:r w:rsidR="0082292D">
        <w:rPr>
          <w:rFonts w:ascii="Bookman Old Style" w:hAnsi="Bookman Old Style" w:cs="Bookman Old Style"/>
          <w:snapToGrid w:val="0"/>
          <w:sz w:val="26"/>
          <w:szCs w:val="26"/>
        </w:rPr>
        <w:t>the defendant used improper means to achieve [his][her][its] objective.</w:t>
      </w:r>
    </w:p>
    <w:p w:rsidR="009C0D67" w:rsidRDefault="009C0D6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9C0D67" w:rsidRDefault="009C0D67">
      <w:pPr>
        <w:pStyle w:val="Heading1"/>
      </w:pPr>
      <w:r>
        <w:t>Use Note</w:t>
      </w:r>
    </w:p>
    <w:p w:rsidR="009C0D67" w:rsidRDefault="009C0D67">
      <w:pPr>
        <w:tabs>
          <w:tab w:val="right" w:pos="1088"/>
        </w:tabs>
        <w:jc w:val="both"/>
        <w:rPr>
          <w:rFonts w:ascii="Bookman Old Style" w:hAnsi="Bookman Old Style" w:cs="Bookman Old Style"/>
          <w:sz w:val="26"/>
          <w:szCs w:val="26"/>
        </w:rPr>
      </w:pPr>
    </w:p>
    <w:p w:rsidR="004E243D" w:rsidRDefault="004E243D" w:rsidP="00035A12">
      <w:pPr>
        <w:tabs>
          <w:tab w:val="right" w:pos="1088"/>
        </w:tabs>
        <w:jc w:val="both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>As part of a prima facie case, the</w:t>
      </w:r>
      <w:r w:rsidR="00356B23">
        <w:rPr>
          <w:rFonts w:ascii="Bookman Old Style" w:hAnsi="Bookman Old Style" w:cs="Bookman Old Style"/>
          <w:sz w:val="26"/>
          <w:szCs w:val="26"/>
        </w:rPr>
        <w:t xml:space="preserve"> plaintiff is required to prove</w:t>
      </w:r>
      <w:r w:rsidR="000E78D3">
        <w:rPr>
          <w:rFonts w:ascii="Bookman Old Style" w:hAnsi="Bookman Old Style" w:cs="Bookman Old Style"/>
          <w:sz w:val="26"/>
          <w:szCs w:val="26"/>
        </w:rPr>
        <w:t xml:space="preserve"> that the defendant’s conduct was not privileged or just</w:t>
      </w:r>
      <w:r>
        <w:rPr>
          <w:rFonts w:ascii="Bookman Old Style" w:hAnsi="Bookman Old Style" w:cs="Bookman Old Style"/>
          <w:sz w:val="26"/>
          <w:szCs w:val="26"/>
        </w:rPr>
        <w:t>ified</w:t>
      </w:r>
      <w:r w:rsidR="00DE1E88">
        <w:rPr>
          <w:rFonts w:ascii="Bookman Old Style" w:hAnsi="Bookman Old Style" w:cs="Bookman Old Style"/>
          <w:sz w:val="26"/>
          <w:szCs w:val="26"/>
        </w:rPr>
        <w:t xml:space="preserve">. </w:t>
      </w:r>
      <w:r w:rsidR="004A1E6B">
        <w:rPr>
          <w:rFonts w:ascii="Bookman Old Style" w:hAnsi="Bookman Old Style" w:cs="Bookman Old Style"/>
          <w:sz w:val="26"/>
          <w:szCs w:val="26"/>
        </w:rPr>
        <w:t xml:space="preserve"> </w:t>
      </w:r>
      <w:r>
        <w:rPr>
          <w:rFonts w:ascii="Bookman Old Style" w:hAnsi="Bookman Old Style" w:cs="Bookman Old Style"/>
          <w:sz w:val="26"/>
          <w:szCs w:val="26"/>
        </w:rPr>
        <w:t xml:space="preserve">Therefore, </w:t>
      </w:r>
      <w:r w:rsidR="00F1096C">
        <w:rPr>
          <w:rFonts w:ascii="Bookman Old Style" w:hAnsi="Bookman Old Style" w:cs="Bookman Old Style"/>
          <w:sz w:val="26"/>
          <w:szCs w:val="26"/>
        </w:rPr>
        <w:t>this instructio</w:t>
      </w:r>
      <w:r w:rsidR="00481D1A">
        <w:rPr>
          <w:rFonts w:ascii="Bookman Old Style" w:hAnsi="Bookman Old Style" w:cs="Bookman Old Style"/>
          <w:sz w:val="26"/>
          <w:szCs w:val="26"/>
        </w:rPr>
        <w:t xml:space="preserve">n must be given in all </w:t>
      </w:r>
      <w:r>
        <w:rPr>
          <w:rFonts w:ascii="Bookman Old Style" w:hAnsi="Bookman Old Style" w:cs="Bookman Old Style"/>
          <w:sz w:val="26"/>
          <w:szCs w:val="26"/>
        </w:rPr>
        <w:t xml:space="preserve">cases </w:t>
      </w:r>
      <w:r w:rsidR="00F1096C">
        <w:rPr>
          <w:rFonts w:ascii="Bookman Old Style" w:hAnsi="Bookman Old Style" w:cs="Bookman Old Style"/>
          <w:sz w:val="26"/>
          <w:szCs w:val="26"/>
        </w:rPr>
        <w:t xml:space="preserve">involving intentional interference with contract or prospective economic advantage. </w:t>
      </w:r>
    </w:p>
    <w:p w:rsidR="004E243D" w:rsidRDefault="004E243D" w:rsidP="00035A12">
      <w:pPr>
        <w:tabs>
          <w:tab w:val="right" w:pos="1088"/>
        </w:tabs>
        <w:jc w:val="both"/>
        <w:rPr>
          <w:rFonts w:ascii="Bookman Old Style" w:hAnsi="Bookman Old Style" w:cs="Bookman Old Style"/>
          <w:sz w:val="26"/>
          <w:szCs w:val="26"/>
        </w:rPr>
      </w:pPr>
    </w:p>
    <w:p w:rsidR="000E78D3" w:rsidRDefault="00DE1E88" w:rsidP="00035A12">
      <w:pPr>
        <w:tabs>
          <w:tab w:val="right" w:pos="1088"/>
        </w:tabs>
        <w:jc w:val="both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>This instruction refers to two interests recognized in Alaska case law as justify</w:t>
      </w:r>
      <w:r w:rsidR="004E243D">
        <w:rPr>
          <w:rFonts w:ascii="Bookman Old Style" w:hAnsi="Bookman Old Style" w:cs="Bookman Old Style"/>
          <w:sz w:val="26"/>
          <w:szCs w:val="26"/>
        </w:rPr>
        <w:t>ing such interference</w:t>
      </w:r>
      <w:r>
        <w:rPr>
          <w:rFonts w:ascii="Bookman Old Style" w:hAnsi="Bookman Old Style" w:cs="Bookman Old Style"/>
          <w:sz w:val="26"/>
          <w:szCs w:val="26"/>
        </w:rPr>
        <w:t xml:space="preserve">. </w:t>
      </w:r>
      <w:r w:rsidR="004A1E6B">
        <w:rPr>
          <w:rFonts w:ascii="Bookman Old Style" w:hAnsi="Bookman Old Style" w:cs="Bookman Old Style"/>
          <w:sz w:val="26"/>
          <w:szCs w:val="26"/>
        </w:rPr>
        <w:t xml:space="preserve"> </w:t>
      </w:r>
      <w:r>
        <w:rPr>
          <w:rFonts w:ascii="Bookman Old Style" w:hAnsi="Bookman Old Style" w:cs="Bookman Old Style"/>
          <w:sz w:val="26"/>
          <w:szCs w:val="26"/>
        </w:rPr>
        <w:t>The instruction may be modified to refer to other interests, as discussed in the Comment below.</w:t>
      </w:r>
    </w:p>
    <w:p w:rsidR="00035A12" w:rsidRDefault="00035A12" w:rsidP="00035A12">
      <w:pPr>
        <w:tabs>
          <w:tab w:val="right" w:pos="1088"/>
        </w:tabs>
        <w:jc w:val="both"/>
        <w:rPr>
          <w:rFonts w:ascii="Bookman Old Style" w:hAnsi="Bookman Old Style" w:cs="Bookman Old Style"/>
          <w:sz w:val="26"/>
          <w:szCs w:val="26"/>
        </w:rPr>
      </w:pPr>
    </w:p>
    <w:p w:rsidR="009C0D67" w:rsidRDefault="009C0D67">
      <w:pPr>
        <w:pStyle w:val="Heading1"/>
      </w:pPr>
      <w:r>
        <w:t>Comment</w:t>
      </w:r>
    </w:p>
    <w:p w:rsidR="009C0D67" w:rsidRDefault="009C0D67">
      <w:pPr>
        <w:jc w:val="both"/>
        <w:rPr>
          <w:rFonts w:ascii="Bookman Old Style" w:hAnsi="Bookman Old Style" w:cs="Bookman Old Style"/>
          <w:sz w:val="26"/>
          <w:szCs w:val="26"/>
        </w:rPr>
      </w:pPr>
    </w:p>
    <w:p w:rsidR="00BB30CE" w:rsidRDefault="00BB30CE" w:rsidP="002C3265">
      <w:pPr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The torts of intentional interference with contract and with prospective economic advantage are closely related.</w:t>
      </w:r>
      <w:r w:rsidR="00627B62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7F0AD4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Pr="009954AB">
        <w:rPr>
          <w:rFonts w:ascii="Bookman Old Style" w:hAnsi="Bookman Old Style" w:cs="Bookman Old Style"/>
          <w:i/>
          <w:snapToGrid w:val="0"/>
          <w:sz w:val="26"/>
          <w:szCs w:val="26"/>
        </w:rPr>
        <w:t>E.g.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, </w:t>
      </w:r>
      <w:r w:rsidR="002C3265" w:rsidRPr="005755BB">
        <w:rPr>
          <w:rFonts w:ascii="Bookman Old Style" w:hAnsi="Bookman Old Style" w:cs="Bookman Old Style"/>
          <w:i/>
          <w:snapToGrid w:val="0"/>
          <w:sz w:val="26"/>
          <w:szCs w:val="26"/>
        </w:rPr>
        <w:t>Oaksmith v. Brusich</w:t>
      </w:r>
      <w:r w:rsidR="002C3265">
        <w:rPr>
          <w:rFonts w:ascii="Bookman Old Style" w:hAnsi="Bookman Old Style" w:cs="Bookman Old Style"/>
          <w:snapToGrid w:val="0"/>
          <w:sz w:val="26"/>
          <w:szCs w:val="26"/>
        </w:rPr>
        <w:t xml:space="preserve">, </w:t>
      </w:r>
      <w:r w:rsidR="002C3265" w:rsidRPr="002C3265">
        <w:rPr>
          <w:rFonts w:ascii="Bookman Old Style" w:hAnsi="Bookman Old Style" w:cs="Bookman Old Style"/>
          <w:snapToGrid w:val="0"/>
          <w:sz w:val="26"/>
          <w:szCs w:val="26"/>
        </w:rPr>
        <w:t>774 P.2d 191</w:t>
      </w:r>
      <w:r w:rsidR="002C3265">
        <w:rPr>
          <w:rFonts w:ascii="Bookman Old Style" w:hAnsi="Bookman Old Style" w:cs="Bookman Old Style"/>
          <w:snapToGrid w:val="0"/>
          <w:sz w:val="26"/>
          <w:szCs w:val="26"/>
        </w:rPr>
        <w:t>, 198 (</w:t>
      </w:r>
      <w:r w:rsidR="002C3265" w:rsidRPr="002C3265">
        <w:rPr>
          <w:rFonts w:ascii="Bookman Old Style" w:hAnsi="Bookman Old Style" w:cs="Bookman Old Style"/>
          <w:snapToGrid w:val="0"/>
          <w:sz w:val="26"/>
          <w:szCs w:val="26"/>
        </w:rPr>
        <w:t>Alaska</w:t>
      </w:r>
      <w:r w:rsidR="002C3265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2C3265" w:rsidRPr="002C3265">
        <w:rPr>
          <w:rFonts w:ascii="Bookman Old Style" w:hAnsi="Bookman Old Style" w:cs="Bookman Old Style"/>
          <w:snapToGrid w:val="0"/>
          <w:sz w:val="26"/>
          <w:szCs w:val="26"/>
        </w:rPr>
        <w:t>1989</w:t>
      </w:r>
      <w:r w:rsidR="002C3265">
        <w:rPr>
          <w:rFonts w:ascii="Bookman Old Style" w:hAnsi="Bookman Old Style" w:cs="Bookman Old Style"/>
          <w:snapToGrid w:val="0"/>
          <w:sz w:val="26"/>
          <w:szCs w:val="26"/>
        </w:rPr>
        <w:t>)</w:t>
      </w:r>
      <w:r w:rsidR="002C3265" w:rsidRPr="002C3265">
        <w:rPr>
          <w:rFonts w:ascii="Bookman Old Style" w:hAnsi="Bookman Old Style" w:cs="Bookman Old Style"/>
          <w:snapToGrid w:val="0"/>
          <w:sz w:val="26"/>
          <w:szCs w:val="26"/>
        </w:rPr>
        <w:t>.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7F0AD4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The privilege or justification element is the </w:t>
      </w:r>
      <w:r>
        <w:rPr>
          <w:rFonts w:ascii="Bookman Old Style" w:hAnsi="Bookman Old Style" w:cs="Bookman Old Style"/>
          <w:snapToGrid w:val="0"/>
          <w:sz w:val="26"/>
          <w:szCs w:val="26"/>
        </w:rPr>
        <w:lastRenderedPageBreak/>
        <w:t>same in both torts.</w:t>
      </w:r>
      <w:r w:rsidR="00627B62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7F0AD4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Pr="009954AB">
        <w:rPr>
          <w:rFonts w:ascii="Bookman Old Style" w:hAnsi="Bookman Old Style" w:cs="Bookman Old Style"/>
          <w:i/>
          <w:snapToGrid w:val="0"/>
          <w:sz w:val="26"/>
          <w:szCs w:val="26"/>
        </w:rPr>
        <w:t>E.g.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, </w:t>
      </w:r>
      <w:r w:rsidR="006634F6" w:rsidRPr="00DF045E">
        <w:rPr>
          <w:rFonts w:ascii="Bookman Old Style" w:hAnsi="Bookman Old Style" w:cs="Bookman Old Style"/>
          <w:i/>
          <w:sz w:val="26"/>
          <w:szCs w:val="26"/>
        </w:rPr>
        <w:t>RAN Corp. v. Hudesman</w:t>
      </w:r>
      <w:r w:rsidR="006634F6" w:rsidRPr="0050303D">
        <w:rPr>
          <w:rFonts w:ascii="Bookman Old Style" w:hAnsi="Bookman Old Style" w:cs="Bookman Old Style"/>
          <w:sz w:val="26"/>
          <w:szCs w:val="26"/>
        </w:rPr>
        <w:t xml:space="preserve">, 823 P.2d 646, </w:t>
      </w:r>
      <w:r w:rsidR="006634F6">
        <w:rPr>
          <w:rFonts w:ascii="Bookman Old Style" w:hAnsi="Bookman Old Style" w:cs="Bookman Old Style"/>
          <w:sz w:val="26"/>
          <w:szCs w:val="26"/>
        </w:rPr>
        <w:t>648</w:t>
      </w:r>
      <w:r w:rsidR="006634F6" w:rsidRPr="0050303D">
        <w:rPr>
          <w:rFonts w:ascii="Bookman Old Style" w:hAnsi="Bookman Old Style" w:cs="Bookman Old Style"/>
          <w:sz w:val="26"/>
          <w:szCs w:val="26"/>
        </w:rPr>
        <w:t xml:space="preserve"> (Alaska 1991).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035A12">
        <w:rPr>
          <w:rFonts w:ascii="Bookman Old Style" w:hAnsi="Bookman Old Style" w:cs="Bookman Old Style"/>
          <w:snapToGrid w:val="0"/>
          <w:sz w:val="26"/>
          <w:szCs w:val="26"/>
        </w:rPr>
        <w:t xml:space="preserve"> Instruction 19</w:t>
      </w:r>
      <w:r w:rsidR="00F13499">
        <w:rPr>
          <w:rFonts w:ascii="Bookman Old Style" w:hAnsi="Bookman Old Style" w:cs="Bookman Old Style"/>
          <w:snapToGrid w:val="0"/>
          <w:sz w:val="26"/>
          <w:szCs w:val="26"/>
        </w:rPr>
        <w:t>.</w:t>
      </w:r>
      <w:r w:rsidR="00035A12">
        <w:rPr>
          <w:rFonts w:ascii="Bookman Old Style" w:hAnsi="Bookman Old Style" w:cs="Bookman Old Style"/>
          <w:snapToGrid w:val="0"/>
          <w:sz w:val="26"/>
          <w:szCs w:val="26"/>
        </w:rPr>
        <w:t xml:space="preserve">03 sets out the elements of privilege and justification for the interference.  </w:t>
      </w:r>
    </w:p>
    <w:p w:rsidR="00665439" w:rsidRDefault="00665439" w:rsidP="00BA6C1E">
      <w:pPr>
        <w:widowControl w:val="0"/>
        <w:adjustRightInd w:val="0"/>
        <w:jc w:val="both"/>
        <w:rPr>
          <w:rFonts w:ascii="Bookman Old Style" w:hAnsi="Bookman Old Style"/>
          <w:i/>
          <w:color w:val="000000"/>
          <w:sz w:val="26"/>
          <w:szCs w:val="26"/>
        </w:rPr>
      </w:pPr>
    </w:p>
    <w:p w:rsidR="001B127D" w:rsidRPr="001B127D" w:rsidRDefault="001B127D" w:rsidP="00356DBA">
      <w:pPr>
        <w:jc w:val="both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 xml:space="preserve">The Alaska court has </w:t>
      </w:r>
      <w:r w:rsidRPr="00874C1D">
        <w:rPr>
          <w:rFonts w:ascii="Bookman Old Style" w:hAnsi="Bookman Old Style" w:cs="Bookman Old Style"/>
          <w:sz w:val="26"/>
          <w:szCs w:val="26"/>
        </w:rPr>
        <w:t xml:space="preserve">recognized </w:t>
      </w:r>
      <w:r>
        <w:rPr>
          <w:rFonts w:ascii="Bookman Old Style" w:hAnsi="Bookman Old Style" w:cs="Bookman Old Style"/>
          <w:sz w:val="26"/>
          <w:szCs w:val="26"/>
        </w:rPr>
        <w:t xml:space="preserve">two interests that may justify interference: economic interest and public safety. </w:t>
      </w:r>
      <w:r w:rsidRPr="00934013">
        <w:rPr>
          <w:rFonts w:ascii="Bookman Old Style" w:hAnsi="Bookman Old Style" w:cs="Bookman Old Style"/>
          <w:i/>
          <w:sz w:val="26"/>
          <w:szCs w:val="26"/>
        </w:rPr>
        <w:t>E.g.,</w:t>
      </w:r>
      <w:r w:rsidRPr="00874C1D">
        <w:rPr>
          <w:rFonts w:ascii="Bookman Old Style" w:hAnsi="Bookman Old Style" w:cs="Bookman Old Style"/>
          <w:sz w:val="26"/>
          <w:szCs w:val="26"/>
        </w:rPr>
        <w:t xml:space="preserve"> </w:t>
      </w:r>
      <w:r w:rsidRPr="00874C1D">
        <w:rPr>
          <w:rFonts w:ascii="Bookman Old Style" w:hAnsi="Bookman Old Style" w:cs="Bookman Old Style"/>
          <w:i/>
          <w:sz w:val="26"/>
          <w:szCs w:val="26"/>
        </w:rPr>
        <w:t>RAN Corp.</w:t>
      </w:r>
      <w:r w:rsidRPr="00874C1D">
        <w:rPr>
          <w:rFonts w:ascii="Bookman Old Style" w:hAnsi="Bookman Old Style" w:cs="Bookman Old Style"/>
          <w:sz w:val="26"/>
          <w:szCs w:val="26"/>
        </w:rPr>
        <w:t>, 823 P.2d at 648</w:t>
      </w:r>
      <w:r>
        <w:rPr>
          <w:rFonts w:ascii="Bookman Old Style" w:hAnsi="Bookman Old Style" w:cs="Bookman Old Style"/>
          <w:sz w:val="26"/>
          <w:szCs w:val="26"/>
        </w:rPr>
        <w:t xml:space="preserve"> (economics); </w:t>
      </w:r>
      <w:r w:rsidRPr="005C191D">
        <w:rPr>
          <w:rFonts w:ascii="Bookman Old Style" w:hAnsi="Bookman Old Style" w:cs="Bookman Old Style"/>
          <w:i/>
          <w:sz w:val="26"/>
          <w:szCs w:val="26"/>
        </w:rPr>
        <w:t>Hatten v. Union Oil Co. of California, Inc</w:t>
      </w:r>
      <w:r w:rsidRPr="00874C1D">
        <w:rPr>
          <w:rFonts w:ascii="Bookman Old Style" w:hAnsi="Bookman Old Style" w:cs="Bookman Old Style"/>
          <w:sz w:val="26"/>
          <w:szCs w:val="26"/>
        </w:rPr>
        <w:t>., 778 P.2d 1150 (Alaska 1989)</w:t>
      </w:r>
      <w:r>
        <w:rPr>
          <w:rFonts w:ascii="Bookman Old Style" w:hAnsi="Bookman Old Style" w:cs="Bookman Old Style"/>
          <w:sz w:val="26"/>
          <w:szCs w:val="26"/>
        </w:rPr>
        <w:t xml:space="preserve"> </w:t>
      </w:r>
      <w:r w:rsidRPr="00874C1D">
        <w:rPr>
          <w:rFonts w:ascii="Bookman Old Style" w:hAnsi="Bookman Old Style" w:cs="Bookman Old Style"/>
          <w:sz w:val="26"/>
          <w:szCs w:val="26"/>
        </w:rPr>
        <w:t>(safety).</w:t>
      </w:r>
      <w:r>
        <w:rPr>
          <w:rFonts w:ascii="Bookman Old Style" w:hAnsi="Bookman Old Style" w:cs="Bookman Old Style"/>
          <w:sz w:val="26"/>
          <w:szCs w:val="26"/>
        </w:rPr>
        <w:t xml:space="preserve"> </w:t>
      </w:r>
      <w:r w:rsidR="007F0AD4">
        <w:rPr>
          <w:rFonts w:ascii="Bookman Old Style" w:hAnsi="Bookman Old Style" w:cs="Bookman Old Style"/>
          <w:sz w:val="26"/>
          <w:szCs w:val="26"/>
        </w:rPr>
        <w:t xml:space="preserve"> </w:t>
      </w:r>
      <w:r>
        <w:rPr>
          <w:rFonts w:ascii="Bookman Old Style" w:hAnsi="Bookman Old Style" w:cs="Bookman Old Style"/>
          <w:sz w:val="26"/>
          <w:szCs w:val="26"/>
        </w:rPr>
        <w:t xml:space="preserve">The Restatement (Second) of Torts discusses a number of interests that may qualify: (1) competition (§ 768); (2) personal financial interest (§ 769); (3) responsibility for personal welfare of another (§ 770); (4) interest in influencing others' business policies (§ 771); (4) right to give advice or truthful information (§ 772); (6) assertion of a bona fide claim protecting legally protected interests (§ 773); and (7) the contract was illegal or contrary to public policy (§ 774). </w:t>
      </w:r>
    </w:p>
    <w:p w:rsidR="001B127D" w:rsidRDefault="001B127D" w:rsidP="00356DBA">
      <w:pPr>
        <w:jc w:val="both"/>
        <w:rPr>
          <w:rFonts w:ascii="Bookman Old Style" w:hAnsi="Bookman Old Style"/>
          <w:color w:val="000000"/>
          <w:sz w:val="26"/>
          <w:szCs w:val="26"/>
        </w:rPr>
      </w:pPr>
    </w:p>
    <w:p w:rsidR="00A60CE2" w:rsidRDefault="00734A11" w:rsidP="00356DBA">
      <w:pPr>
        <w:jc w:val="both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/>
          <w:color w:val="000000"/>
          <w:sz w:val="26"/>
          <w:szCs w:val="26"/>
        </w:rPr>
        <w:t xml:space="preserve">Alaska decisions </w:t>
      </w:r>
      <w:r w:rsidR="00090F05">
        <w:rPr>
          <w:rFonts w:ascii="Bookman Old Style" w:hAnsi="Bookman Old Style"/>
          <w:color w:val="000000"/>
          <w:sz w:val="26"/>
          <w:szCs w:val="26"/>
        </w:rPr>
        <w:t>hold</w:t>
      </w:r>
      <w:r w:rsidR="0060260A">
        <w:rPr>
          <w:rFonts w:ascii="Bookman Old Style" w:hAnsi="Bookman Old Style"/>
          <w:color w:val="000000"/>
          <w:sz w:val="26"/>
          <w:szCs w:val="26"/>
        </w:rPr>
        <w:t xml:space="preserve"> </w:t>
      </w:r>
      <w:r w:rsidR="0050303D">
        <w:rPr>
          <w:rFonts w:ascii="Bookman Old Style" w:hAnsi="Bookman Old Style"/>
          <w:color w:val="000000"/>
          <w:sz w:val="26"/>
          <w:szCs w:val="26"/>
        </w:rPr>
        <w:t>“</w:t>
      </w:r>
      <w:r>
        <w:rPr>
          <w:rFonts w:ascii="Bookman Old Style" w:hAnsi="Bookman Old Style"/>
          <w:color w:val="000000"/>
          <w:sz w:val="26"/>
          <w:szCs w:val="26"/>
        </w:rPr>
        <w:t>that</w:t>
      </w:r>
      <w:r w:rsidR="0050303D">
        <w:rPr>
          <w:rFonts w:ascii="Bookman Old Style" w:hAnsi="Bookman Old Style"/>
          <w:color w:val="000000"/>
          <w:sz w:val="26"/>
          <w:szCs w:val="26"/>
        </w:rPr>
        <w:t xml:space="preserve"> </w:t>
      </w:r>
      <w:r w:rsidR="0050303D" w:rsidRPr="0050303D">
        <w:rPr>
          <w:rFonts w:ascii="Bookman Old Style" w:hAnsi="Bookman Old Style" w:cs="Bookman Old Style"/>
          <w:sz w:val="26"/>
          <w:szCs w:val="26"/>
        </w:rPr>
        <w:t xml:space="preserve">where an actor has a direct financial interest, he is privileged to interfere with a contract for economic reasons, but not where he is motivated by spite, malice, or some other improper objective.” </w:t>
      </w:r>
      <w:r w:rsidR="0050303D" w:rsidRPr="005755BB">
        <w:rPr>
          <w:rFonts w:ascii="Bookman Old Style" w:hAnsi="Bookman Old Style" w:cs="Bookman Old Style"/>
          <w:i/>
          <w:sz w:val="26"/>
          <w:szCs w:val="26"/>
        </w:rPr>
        <w:t>RAN Corp.</w:t>
      </w:r>
      <w:r w:rsidR="0050303D" w:rsidRPr="0050303D">
        <w:rPr>
          <w:rFonts w:ascii="Bookman Old Style" w:hAnsi="Bookman Old Style" w:cs="Bookman Old Style"/>
          <w:sz w:val="26"/>
          <w:szCs w:val="26"/>
        </w:rPr>
        <w:t xml:space="preserve">, 823 P.2d </w:t>
      </w:r>
      <w:r w:rsidR="006634F6">
        <w:rPr>
          <w:rFonts w:ascii="Bookman Old Style" w:hAnsi="Bookman Old Style" w:cs="Bookman Old Style"/>
          <w:sz w:val="26"/>
          <w:szCs w:val="26"/>
        </w:rPr>
        <w:t xml:space="preserve">at </w:t>
      </w:r>
      <w:r w:rsidR="0050303D" w:rsidRPr="0050303D">
        <w:rPr>
          <w:rFonts w:ascii="Bookman Old Style" w:hAnsi="Bookman Old Style" w:cs="Bookman Old Style"/>
          <w:sz w:val="26"/>
          <w:szCs w:val="26"/>
        </w:rPr>
        <w:t>648.</w:t>
      </w:r>
      <w:r w:rsidR="0050303D">
        <w:rPr>
          <w:rFonts w:ascii="Bookman Old Style" w:hAnsi="Bookman Old Style" w:cs="Bookman Old Style"/>
          <w:sz w:val="26"/>
          <w:szCs w:val="26"/>
        </w:rPr>
        <w:t xml:space="preserve"> </w:t>
      </w:r>
      <w:r w:rsidR="007F0AD4">
        <w:rPr>
          <w:rFonts w:ascii="Bookman Old Style" w:hAnsi="Bookman Old Style" w:cs="Bookman Old Style"/>
          <w:sz w:val="26"/>
          <w:szCs w:val="26"/>
        </w:rPr>
        <w:t xml:space="preserve"> </w:t>
      </w:r>
      <w:r w:rsidR="0050303D">
        <w:rPr>
          <w:rFonts w:ascii="Bookman Old Style" w:hAnsi="Bookman Old Style" w:cs="Bookman Old Style"/>
          <w:sz w:val="26"/>
          <w:szCs w:val="26"/>
        </w:rPr>
        <w:t xml:space="preserve">The court has recognized a direct financial interest in a number of situations. </w:t>
      </w:r>
      <w:r w:rsidR="007F0AD4">
        <w:rPr>
          <w:rFonts w:ascii="Bookman Old Style" w:hAnsi="Bookman Old Style" w:cs="Bookman Old Style"/>
          <w:sz w:val="26"/>
          <w:szCs w:val="26"/>
        </w:rPr>
        <w:t xml:space="preserve"> </w:t>
      </w:r>
      <w:r w:rsidR="00035A12">
        <w:rPr>
          <w:rFonts w:ascii="Bookman Old Style" w:hAnsi="Bookman Old Style" w:cs="Bookman Old Style"/>
          <w:i/>
          <w:sz w:val="26"/>
          <w:szCs w:val="26"/>
        </w:rPr>
        <w:t>See</w:t>
      </w:r>
      <w:r w:rsidR="00035A12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035A12" w:rsidRPr="005529CD">
        <w:rPr>
          <w:rFonts w:ascii="Bookman Old Style" w:hAnsi="Bookman Old Style" w:cs="Bookman Old Style"/>
          <w:i/>
          <w:sz w:val="26"/>
          <w:szCs w:val="26"/>
        </w:rPr>
        <w:t>Kinzel v. Discovery Drilling Inc.</w:t>
      </w:r>
      <w:r w:rsidR="00035A12" w:rsidRPr="005529CD">
        <w:rPr>
          <w:rFonts w:ascii="Bookman Old Style" w:hAnsi="Bookman Old Style" w:cs="Bookman Old Style"/>
          <w:sz w:val="26"/>
          <w:szCs w:val="26"/>
        </w:rPr>
        <w:t>, 93 P.3d 427, 44</w:t>
      </w:r>
      <w:r w:rsidR="00035A12">
        <w:rPr>
          <w:rFonts w:ascii="Bookman Old Style" w:hAnsi="Bookman Old Style" w:cs="Bookman Old Style"/>
          <w:sz w:val="26"/>
          <w:szCs w:val="26"/>
        </w:rPr>
        <w:t>4</w:t>
      </w:r>
      <w:r w:rsidR="00035A12" w:rsidRPr="005529CD">
        <w:rPr>
          <w:rFonts w:ascii="Bookman Old Style" w:hAnsi="Bookman Old Style" w:cs="Bookman Old Style"/>
          <w:sz w:val="26"/>
          <w:szCs w:val="26"/>
        </w:rPr>
        <w:t xml:space="preserve"> (Alaska 2004</w:t>
      </w:r>
      <w:r w:rsidR="00035A12">
        <w:rPr>
          <w:rFonts w:ascii="Bookman Old Style" w:hAnsi="Bookman Old Style" w:cs="Bookman Old Style"/>
          <w:sz w:val="26"/>
          <w:szCs w:val="26"/>
        </w:rPr>
        <w:t>)</w:t>
      </w:r>
      <w:r w:rsidR="00777704">
        <w:rPr>
          <w:rFonts w:ascii="Bookman Old Style" w:hAnsi="Bookman Old Style" w:cs="Bookman Old Style"/>
          <w:sz w:val="26"/>
          <w:szCs w:val="26"/>
        </w:rPr>
        <w:t xml:space="preserve"> </w:t>
      </w:r>
      <w:r w:rsidR="0038719F" w:rsidRPr="0038719F">
        <w:rPr>
          <w:rFonts w:ascii="Bookman Old Style" w:hAnsi="Bookman Old Style" w:cs="Bookman Old Style"/>
          <w:sz w:val="26"/>
          <w:szCs w:val="26"/>
        </w:rPr>
        <w:t>(</w:t>
      </w:r>
      <w:r w:rsidR="001674AD">
        <w:rPr>
          <w:rFonts w:ascii="Bookman Old Style" w:hAnsi="Bookman Old Style" w:cs="Bookman Old Style"/>
          <w:sz w:val="26"/>
          <w:szCs w:val="26"/>
        </w:rPr>
        <w:t xml:space="preserve">prime contractor’s interest in contract between </w:t>
      </w:r>
      <w:r w:rsidR="00777704">
        <w:rPr>
          <w:rFonts w:ascii="Bookman Old Style" w:hAnsi="Bookman Old Style" w:cs="Bookman Old Style"/>
          <w:sz w:val="26"/>
          <w:szCs w:val="26"/>
        </w:rPr>
        <w:t xml:space="preserve">subcontractor and subcontractor’s </w:t>
      </w:r>
      <w:r w:rsidR="001674AD">
        <w:rPr>
          <w:rFonts w:ascii="Bookman Old Style" w:hAnsi="Bookman Old Style" w:cs="Bookman Old Style"/>
          <w:sz w:val="26"/>
          <w:szCs w:val="26"/>
        </w:rPr>
        <w:t>employee</w:t>
      </w:r>
      <w:r w:rsidR="0038719F" w:rsidRPr="0038719F">
        <w:rPr>
          <w:rFonts w:ascii="Bookman Old Style" w:hAnsi="Bookman Old Style" w:cs="Bookman Old Style"/>
          <w:sz w:val="26"/>
          <w:szCs w:val="26"/>
        </w:rPr>
        <w:t xml:space="preserve">); </w:t>
      </w:r>
      <w:r w:rsidR="0050303D" w:rsidRPr="005755BB">
        <w:rPr>
          <w:rFonts w:ascii="Bookman Old Style" w:hAnsi="Bookman Old Style" w:cs="Bookman Old Style"/>
          <w:i/>
          <w:sz w:val="26"/>
          <w:szCs w:val="26"/>
        </w:rPr>
        <w:t>RAN Corp.</w:t>
      </w:r>
      <w:r w:rsidR="0050303D" w:rsidRPr="0050303D">
        <w:rPr>
          <w:rFonts w:ascii="Bookman Old Style" w:hAnsi="Bookman Old Style" w:cs="Bookman Old Style"/>
          <w:sz w:val="26"/>
          <w:szCs w:val="26"/>
        </w:rPr>
        <w:t xml:space="preserve">, 823 P.2d </w:t>
      </w:r>
      <w:r w:rsidR="0050303D">
        <w:rPr>
          <w:rFonts w:ascii="Bookman Old Style" w:hAnsi="Bookman Old Style" w:cs="Bookman Old Style"/>
          <w:sz w:val="26"/>
          <w:szCs w:val="26"/>
        </w:rPr>
        <w:t>at</w:t>
      </w:r>
      <w:r w:rsidR="0050303D" w:rsidRPr="0050303D">
        <w:rPr>
          <w:rFonts w:ascii="Bookman Old Style" w:hAnsi="Bookman Old Style" w:cs="Bookman Old Style"/>
          <w:sz w:val="26"/>
          <w:szCs w:val="26"/>
        </w:rPr>
        <w:t xml:space="preserve"> 64</w:t>
      </w:r>
      <w:r w:rsidR="001F4571">
        <w:rPr>
          <w:rFonts w:ascii="Bookman Old Style" w:hAnsi="Bookman Old Style" w:cs="Bookman Old Style"/>
          <w:sz w:val="26"/>
          <w:szCs w:val="26"/>
        </w:rPr>
        <w:t>9</w:t>
      </w:r>
      <w:r w:rsidR="0050303D" w:rsidRPr="0050303D">
        <w:rPr>
          <w:rFonts w:ascii="Bookman Old Style" w:hAnsi="Bookman Old Style" w:cs="Bookman Old Style"/>
          <w:sz w:val="26"/>
          <w:szCs w:val="26"/>
        </w:rPr>
        <w:t xml:space="preserve"> (</w:t>
      </w:r>
      <w:r w:rsidR="0050303D">
        <w:rPr>
          <w:rFonts w:ascii="Bookman Old Style" w:hAnsi="Bookman Old Style" w:cs="Bookman Old Style"/>
          <w:sz w:val="26"/>
          <w:szCs w:val="26"/>
        </w:rPr>
        <w:t>lessor</w:t>
      </w:r>
      <w:r w:rsidR="001674AD">
        <w:rPr>
          <w:rFonts w:ascii="Bookman Old Style" w:hAnsi="Bookman Old Style" w:cs="Bookman Old Style"/>
          <w:sz w:val="26"/>
          <w:szCs w:val="26"/>
        </w:rPr>
        <w:t>’s</w:t>
      </w:r>
      <w:r w:rsidR="0050303D">
        <w:rPr>
          <w:rFonts w:ascii="Bookman Old Style" w:hAnsi="Bookman Old Style" w:cs="Bookman Old Style"/>
          <w:sz w:val="26"/>
          <w:szCs w:val="26"/>
        </w:rPr>
        <w:t xml:space="preserve"> interest in assignment of lease</w:t>
      </w:r>
      <w:r w:rsidR="0050303D" w:rsidRPr="0050303D">
        <w:rPr>
          <w:rFonts w:ascii="Bookman Old Style" w:hAnsi="Bookman Old Style" w:cs="Bookman Old Style"/>
          <w:sz w:val="26"/>
          <w:szCs w:val="26"/>
        </w:rPr>
        <w:t>)</w:t>
      </w:r>
      <w:r w:rsidR="001674AD">
        <w:rPr>
          <w:rFonts w:ascii="Bookman Old Style" w:hAnsi="Bookman Old Style" w:cs="Bookman Old Style"/>
          <w:sz w:val="26"/>
          <w:szCs w:val="26"/>
        </w:rPr>
        <w:t>;</w:t>
      </w:r>
      <w:r w:rsidR="0050303D" w:rsidRPr="0050303D">
        <w:rPr>
          <w:rFonts w:ascii="Bookman Old Style" w:hAnsi="Bookman Old Style" w:cs="Bookman Old Style"/>
          <w:sz w:val="26"/>
          <w:szCs w:val="26"/>
        </w:rPr>
        <w:t xml:space="preserve"> </w:t>
      </w:r>
      <w:r w:rsidR="00E07297" w:rsidRPr="005501A5">
        <w:rPr>
          <w:rFonts w:ascii="Bookman Old Style" w:hAnsi="Bookman Old Style" w:cs="Bookman Old Style"/>
          <w:i/>
          <w:snapToGrid w:val="0"/>
          <w:sz w:val="26"/>
          <w:szCs w:val="26"/>
        </w:rPr>
        <w:t>Bendix</w:t>
      </w:r>
      <w:r w:rsidR="00E07297" w:rsidRPr="002E3024">
        <w:rPr>
          <w:rFonts w:ascii="Bookman Old Style" w:hAnsi="Bookman Old Style" w:cs="Bookman Old Style"/>
          <w:i/>
          <w:snapToGrid w:val="0"/>
          <w:sz w:val="26"/>
          <w:szCs w:val="26"/>
        </w:rPr>
        <w:t xml:space="preserve"> Corp. v. Adams</w:t>
      </w:r>
      <w:r w:rsidR="00E07297">
        <w:rPr>
          <w:rFonts w:ascii="Bookman Old Style" w:hAnsi="Bookman Old Style" w:cs="Bookman Old Style"/>
          <w:snapToGrid w:val="0"/>
          <w:sz w:val="26"/>
          <w:szCs w:val="26"/>
        </w:rPr>
        <w:t xml:space="preserve">, </w:t>
      </w:r>
      <w:r w:rsidR="00E07297" w:rsidRPr="00936FDF">
        <w:rPr>
          <w:rFonts w:ascii="Bookman Old Style" w:hAnsi="Bookman Old Style" w:cs="Bookman Old Style"/>
          <w:snapToGrid w:val="0"/>
          <w:sz w:val="26"/>
          <w:szCs w:val="26"/>
        </w:rPr>
        <w:t>610 P.2d 24</w:t>
      </w:r>
      <w:r w:rsidR="00E07297">
        <w:rPr>
          <w:rFonts w:ascii="Bookman Old Style" w:hAnsi="Bookman Old Style" w:cs="Bookman Old Style"/>
          <w:snapToGrid w:val="0"/>
          <w:sz w:val="26"/>
          <w:szCs w:val="26"/>
        </w:rPr>
        <w:t>, 31-</w:t>
      </w:r>
      <w:r w:rsidR="00777704">
        <w:rPr>
          <w:rFonts w:ascii="Bookman Old Style" w:hAnsi="Bookman Old Style" w:cs="Bookman Old Style"/>
          <w:snapToGrid w:val="0"/>
          <w:sz w:val="26"/>
          <w:szCs w:val="26"/>
        </w:rPr>
        <w:t>3</w:t>
      </w:r>
      <w:r w:rsidR="00E07297">
        <w:rPr>
          <w:rFonts w:ascii="Bookman Old Style" w:hAnsi="Bookman Old Style" w:cs="Bookman Old Style"/>
          <w:snapToGrid w:val="0"/>
          <w:sz w:val="26"/>
          <w:szCs w:val="26"/>
        </w:rPr>
        <w:t>2 (Alaska 1980)</w:t>
      </w:r>
      <w:r w:rsidR="00777704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50303D">
        <w:rPr>
          <w:rFonts w:ascii="Bookman Old Style" w:hAnsi="Bookman Old Style" w:cs="Bookman Old Style"/>
          <w:sz w:val="26"/>
          <w:szCs w:val="26"/>
        </w:rPr>
        <w:t>(parent corporation</w:t>
      </w:r>
      <w:r w:rsidR="00035A12">
        <w:rPr>
          <w:rFonts w:ascii="Bookman Old Style" w:hAnsi="Bookman Old Style" w:cs="Bookman Old Style"/>
          <w:sz w:val="26"/>
          <w:szCs w:val="26"/>
        </w:rPr>
        <w:t>’s</w:t>
      </w:r>
      <w:r w:rsidR="0050303D">
        <w:rPr>
          <w:rFonts w:ascii="Bookman Old Style" w:hAnsi="Bookman Old Style" w:cs="Bookman Old Style"/>
          <w:sz w:val="26"/>
          <w:szCs w:val="26"/>
        </w:rPr>
        <w:t xml:space="preserve"> interest in contract of subs</w:t>
      </w:r>
      <w:r w:rsidR="00035A12">
        <w:rPr>
          <w:rFonts w:ascii="Bookman Old Style" w:hAnsi="Bookman Old Style" w:cs="Bookman Old Style"/>
          <w:sz w:val="26"/>
          <w:szCs w:val="26"/>
        </w:rPr>
        <w:t>i</w:t>
      </w:r>
      <w:r w:rsidR="0050303D">
        <w:rPr>
          <w:rFonts w:ascii="Bookman Old Style" w:hAnsi="Bookman Old Style" w:cs="Bookman Old Style"/>
          <w:sz w:val="26"/>
          <w:szCs w:val="26"/>
        </w:rPr>
        <w:t>diary)</w:t>
      </w:r>
      <w:r w:rsidR="00FE71A1">
        <w:rPr>
          <w:rFonts w:ascii="Bookman Old Style" w:hAnsi="Bookman Old Style" w:cs="Bookman Old Style"/>
          <w:i/>
          <w:snapToGrid w:val="0"/>
          <w:sz w:val="26"/>
          <w:szCs w:val="26"/>
        </w:rPr>
        <w:t xml:space="preserve">; </w:t>
      </w:r>
      <w:r w:rsidR="00AE7185" w:rsidRPr="009D1B6D">
        <w:rPr>
          <w:rFonts w:ascii="Bookman Old Style" w:hAnsi="Bookman Old Style" w:cs="Bookman Old Style"/>
          <w:i/>
          <w:sz w:val="26"/>
          <w:szCs w:val="26"/>
        </w:rPr>
        <w:t>Alyeska Pipeline Service Co. v. Aurora Air Service, Inc.</w:t>
      </w:r>
      <w:r w:rsidR="00AE7185">
        <w:rPr>
          <w:rFonts w:ascii="Bookman Old Style" w:hAnsi="Bookman Old Style" w:cs="Bookman Old Style"/>
          <w:i/>
          <w:sz w:val="26"/>
          <w:szCs w:val="26"/>
        </w:rPr>
        <w:t>,</w:t>
      </w:r>
      <w:r w:rsidR="00AE7185" w:rsidRPr="00627B62">
        <w:rPr>
          <w:rFonts w:ascii="Bookman Old Style" w:hAnsi="Bookman Old Style" w:cs="Bookman Old Style"/>
          <w:sz w:val="26"/>
          <w:szCs w:val="26"/>
        </w:rPr>
        <w:t xml:space="preserve"> 604 P.2d 1090, </w:t>
      </w:r>
      <w:r w:rsidR="00AE7185" w:rsidRPr="000A0A49">
        <w:rPr>
          <w:rFonts w:ascii="Bookman Old Style" w:hAnsi="Bookman Old Style" w:cs="Bookman Old Style"/>
          <w:sz w:val="26"/>
          <w:szCs w:val="26"/>
        </w:rPr>
        <w:t>109</w:t>
      </w:r>
      <w:r w:rsidR="00AE7185">
        <w:rPr>
          <w:rFonts w:ascii="Bookman Old Style" w:hAnsi="Bookman Old Style" w:cs="Bookman Old Style"/>
          <w:sz w:val="26"/>
          <w:szCs w:val="26"/>
        </w:rPr>
        <w:t>3-</w:t>
      </w:r>
      <w:r w:rsidR="00627B62">
        <w:rPr>
          <w:rFonts w:ascii="Bookman Old Style" w:hAnsi="Bookman Old Style" w:cs="Bookman Old Style"/>
          <w:sz w:val="26"/>
          <w:szCs w:val="26"/>
        </w:rPr>
        <w:t>9</w:t>
      </w:r>
      <w:r w:rsidR="00AE7185">
        <w:rPr>
          <w:rFonts w:ascii="Bookman Old Style" w:hAnsi="Bookman Old Style" w:cs="Bookman Old Style"/>
          <w:sz w:val="26"/>
          <w:szCs w:val="26"/>
        </w:rPr>
        <w:t xml:space="preserve">5 </w:t>
      </w:r>
      <w:r w:rsidR="00627B62" w:rsidRPr="00627B62">
        <w:rPr>
          <w:rFonts w:ascii="Bookman Old Style" w:hAnsi="Bookman Old Style" w:cs="Bookman Old Style"/>
          <w:sz w:val="26"/>
          <w:szCs w:val="26"/>
        </w:rPr>
        <w:t>(Alaska</w:t>
      </w:r>
      <w:r w:rsidR="00AE7185" w:rsidRPr="00627B62">
        <w:rPr>
          <w:rFonts w:ascii="Bookman Old Style" w:hAnsi="Bookman Old Style" w:cs="Bookman Old Style"/>
          <w:sz w:val="26"/>
          <w:szCs w:val="26"/>
        </w:rPr>
        <w:t xml:space="preserve"> 1979</w:t>
      </w:r>
      <w:r w:rsidR="00AE7185" w:rsidRPr="009D1B6D">
        <w:rPr>
          <w:rFonts w:ascii="Bookman Old Style" w:hAnsi="Bookman Old Style" w:cs="Bookman Old Style"/>
          <w:i/>
          <w:sz w:val="26"/>
          <w:szCs w:val="26"/>
        </w:rPr>
        <w:t>)</w:t>
      </w:r>
      <w:r w:rsidR="00777704">
        <w:rPr>
          <w:rFonts w:ascii="Bookman Old Style" w:hAnsi="Bookman Old Style" w:cs="Bookman Old Style"/>
          <w:i/>
          <w:sz w:val="26"/>
          <w:szCs w:val="26"/>
        </w:rPr>
        <w:t xml:space="preserve"> </w:t>
      </w:r>
      <w:r w:rsidR="00A60CE2">
        <w:rPr>
          <w:rFonts w:ascii="Bookman Old Style" w:hAnsi="Bookman Old Style" w:cs="Bookman Old Style"/>
          <w:sz w:val="26"/>
          <w:szCs w:val="26"/>
        </w:rPr>
        <w:t xml:space="preserve">(right of owner to discontinue transportation services component of communications contract). </w:t>
      </w:r>
    </w:p>
    <w:p w:rsidR="0038719F" w:rsidRDefault="0038719F" w:rsidP="00A929FB">
      <w:pPr>
        <w:jc w:val="both"/>
        <w:rPr>
          <w:rFonts w:ascii="Bookman Old Style" w:hAnsi="Bookman Old Style" w:cs="Bookman Old Style"/>
          <w:sz w:val="26"/>
          <w:szCs w:val="26"/>
        </w:rPr>
      </w:pPr>
    </w:p>
    <w:p w:rsidR="00AA3BBA" w:rsidRDefault="0038719F" w:rsidP="00A929FB">
      <w:pPr>
        <w:jc w:val="both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 xml:space="preserve">Protection of the </w:t>
      </w:r>
      <w:r w:rsidR="00FC2B69">
        <w:rPr>
          <w:rFonts w:ascii="Bookman Old Style" w:hAnsi="Bookman Old Style" w:cs="Bookman Old Style"/>
          <w:sz w:val="26"/>
          <w:szCs w:val="26"/>
        </w:rPr>
        <w:t xml:space="preserve">qualifying </w:t>
      </w:r>
      <w:r>
        <w:rPr>
          <w:rFonts w:ascii="Bookman Old Style" w:hAnsi="Bookman Old Style" w:cs="Bookman Old Style"/>
          <w:sz w:val="26"/>
          <w:szCs w:val="26"/>
        </w:rPr>
        <w:t>interest</w:t>
      </w:r>
      <w:r w:rsidR="002F4C7D">
        <w:rPr>
          <w:rFonts w:ascii="Bookman Old Style" w:hAnsi="Bookman Old Style" w:cs="Bookman Old Style"/>
          <w:sz w:val="26"/>
          <w:szCs w:val="26"/>
        </w:rPr>
        <w:t xml:space="preserve"> </w:t>
      </w:r>
      <w:r>
        <w:rPr>
          <w:rFonts w:ascii="Bookman Old Style" w:hAnsi="Bookman Old Style" w:cs="Bookman Old Style"/>
          <w:sz w:val="26"/>
          <w:szCs w:val="26"/>
        </w:rPr>
        <w:t xml:space="preserve">must be the </w:t>
      </w:r>
      <w:r w:rsidR="00532AD7">
        <w:rPr>
          <w:rFonts w:ascii="Bookman Old Style" w:hAnsi="Bookman Old Style" w:cs="Bookman Old Style"/>
          <w:sz w:val="26"/>
          <w:szCs w:val="26"/>
        </w:rPr>
        <w:t>primary reason for the interference:</w:t>
      </w:r>
      <w:r w:rsidR="001F4C40">
        <w:rPr>
          <w:rFonts w:ascii="Bookman Old Style" w:hAnsi="Bookman Old Style" w:cs="Bookman Old Style"/>
          <w:sz w:val="26"/>
          <w:szCs w:val="26"/>
        </w:rPr>
        <w:t xml:space="preserve"> </w:t>
      </w:r>
      <w:r>
        <w:rPr>
          <w:rFonts w:ascii="Bookman Old Style" w:hAnsi="Bookman Old Style" w:cs="Bookman Old Style"/>
          <w:sz w:val="26"/>
          <w:szCs w:val="26"/>
        </w:rPr>
        <w:t>“</w:t>
      </w:r>
      <w:r w:rsidRPr="0038719F">
        <w:rPr>
          <w:rFonts w:ascii="Bookman Old Style" w:hAnsi="Bookman Old Style" w:cs="Bookman Old Style"/>
          <w:sz w:val="26"/>
          <w:szCs w:val="26"/>
        </w:rPr>
        <w:t>the essential question in determining if interference is justified is whether the person's conduct is motivated by a desire to protect his economic interest, or whether it is motivated by spite, malice, or some other improper objective</w:t>
      </w:r>
      <w:r>
        <w:rPr>
          <w:rFonts w:ascii="Bookman Old Style" w:hAnsi="Bookman Old Style" w:cs="Bookman Old Style"/>
          <w:sz w:val="26"/>
          <w:szCs w:val="26"/>
        </w:rPr>
        <w:t>.”</w:t>
      </w:r>
      <w:r w:rsidR="00532AD7">
        <w:rPr>
          <w:rFonts w:ascii="Bookman Old Style" w:hAnsi="Bookman Old Style" w:cs="Bookman Old Style"/>
          <w:sz w:val="26"/>
          <w:szCs w:val="26"/>
        </w:rPr>
        <w:t xml:space="preserve"> </w:t>
      </w:r>
      <w:r w:rsidR="007F0AD4">
        <w:rPr>
          <w:rFonts w:ascii="Bookman Old Style" w:hAnsi="Bookman Old Style" w:cs="Bookman Old Style"/>
          <w:sz w:val="26"/>
          <w:szCs w:val="26"/>
        </w:rPr>
        <w:t xml:space="preserve"> </w:t>
      </w:r>
      <w:r w:rsidR="00532AD7">
        <w:rPr>
          <w:rFonts w:ascii="Bookman Old Style" w:hAnsi="Bookman Old Style" w:cs="Bookman Old Style"/>
          <w:i/>
          <w:sz w:val="26"/>
          <w:szCs w:val="26"/>
        </w:rPr>
        <w:t>See</w:t>
      </w:r>
      <w:r w:rsidR="00532AD7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532AD7" w:rsidRPr="005529CD">
        <w:rPr>
          <w:rFonts w:ascii="Bookman Old Style" w:hAnsi="Bookman Old Style" w:cs="Bookman Old Style"/>
          <w:i/>
          <w:sz w:val="26"/>
          <w:szCs w:val="26"/>
        </w:rPr>
        <w:t>Kinzel</w:t>
      </w:r>
      <w:r w:rsidR="00532AD7" w:rsidRPr="005529CD">
        <w:rPr>
          <w:rFonts w:ascii="Bookman Old Style" w:hAnsi="Bookman Old Style" w:cs="Bookman Old Style"/>
          <w:sz w:val="26"/>
          <w:szCs w:val="26"/>
        </w:rPr>
        <w:t xml:space="preserve">, 93 P.3d </w:t>
      </w:r>
      <w:r w:rsidR="006634F6">
        <w:rPr>
          <w:rFonts w:ascii="Bookman Old Style" w:hAnsi="Bookman Old Style" w:cs="Bookman Old Style"/>
          <w:sz w:val="26"/>
          <w:szCs w:val="26"/>
        </w:rPr>
        <w:t>at</w:t>
      </w:r>
      <w:r w:rsidR="00532AD7" w:rsidRPr="005529CD">
        <w:rPr>
          <w:rFonts w:ascii="Bookman Old Style" w:hAnsi="Bookman Old Style" w:cs="Bookman Old Style"/>
          <w:sz w:val="26"/>
          <w:szCs w:val="26"/>
        </w:rPr>
        <w:t xml:space="preserve"> 44</w:t>
      </w:r>
      <w:r w:rsidR="00532AD7">
        <w:rPr>
          <w:rFonts w:ascii="Bookman Old Style" w:hAnsi="Bookman Old Style" w:cs="Bookman Old Style"/>
          <w:sz w:val="26"/>
          <w:szCs w:val="26"/>
        </w:rPr>
        <w:t>4</w:t>
      </w:r>
      <w:r w:rsidR="00090F05">
        <w:rPr>
          <w:rFonts w:ascii="Bookman Old Style" w:hAnsi="Bookman Old Style" w:cs="Bookman Old Style"/>
          <w:sz w:val="26"/>
          <w:szCs w:val="26"/>
        </w:rPr>
        <w:t xml:space="preserve"> (footnote omitted). </w:t>
      </w:r>
      <w:r w:rsidR="00956795">
        <w:rPr>
          <w:rFonts w:ascii="Bookman Old Style" w:hAnsi="Bookman Old Style" w:cs="Bookman Old Style"/>
          <w:sz w:val="26"/>
          <w:szCs w:val="26"/>
        </w:rPr>
        <w:t xml:space="preserve">Where there is evidence of an improper motive, </w:t>
      </w:r>
      <w:r w:rsidR="001F4C40">
        <w:rPr>
          <w:rFonts w:ascii="Bookman Old Style" w:hAnsi="Bookman Old Style" w:cs="Bookman Old Style"/>
          <w:sz w:val="26"/>
          <w:szCs w:val="26"/>
        </w:rPr>
        <w:t xml:space="preserve">the </w:t>
      </w:r>
      <w:r w:rsidR="00956795">
        <w:rPr>
          <w:rFonts w:ascii="Bookman Old Style" w:hAnsi="Bookman Old Style" w:cs="Bookman Old Style"/>
          <w:sz w:val="26"/>
          <w:szCs w:val="26"/>
        </w:rPr>
        <w:t>p</w:t>
      </w:r>
      <w:r w:rsidR="00532AD7">
        <w:rPr>
          <w:rFonts w:ascii="Bookman Old Style" w:hAnsi="Bookman Old Style" w:cs="Bookman Old Style"/>
          <w:sz w:val="26"/>
          <w:szCs w:val="26"/>
        </w:rPr>
        <w:t xml:space="preserve">laintiff is entitled to put the </w:t>
      </w:r>
      <w:r w:rsidR="001A0FD4">
        <w:rPr>
          <w:rFonts w:ascii="Bookman Old Style" w:hAnsi="Bookman Old Style" w:cs="Bookman Old Style"/>
          <w:sz w:val="26"/>
          <w:szCs w:val="26"/>
        </w:rPr>
        <w:t xml:space="preserve">question </w:t>
      </w:r>
      <w:r w:rsidR="00532AD7">
        <w:rPr>
          <w:rFonts w:ascii="Bookman Old Style" w:hAnsi="Bookman Old Style" w:cs="Bookman Old Style"/>
          <w:sz w:val="26"/>
          <w:szCs w:val="26"/>
        </w:rPr>
        <w:t xml:space="preserve">to the jury notwithstanding </w:t>
      </w:r>
      <w:r w:rsidR="001F4C40">
        <w:rPr>
          <w:rFonts w:ascii="Bookman Old Style" w:hAnsi="Bookman Old Style" w:cs="Bookman Old Style"/>
          <w:sz w:val="26"/>
          <w:szCs w:val="26"/>
        </w:rPr>
        <w:t xml:space="preserve">the </w:t>
      </w:r>
      <w:r w:rsidR="00532AD7">
        <w:rPr>
          <w:rFonts w:ascii="Bookman Old Style" w:hAnsi="Bookman Old Style" w:cs="Bookman Old Style"/>
          <w:sz w:val="26"/>
          <w:szCs w:val="26"/>
        </w:rPr>
        <w:t>defendant’s undisputed econo</w:t>
      </w:r>
      <w:r w:rsidR="00956795">
        <w:rPr>
          <w:rFonts w:ascii="Bookman Old Style" w:hAnsi="Bookman Old Style" w:cs="Bookman Old Style"/>
          <w:sz w:val="26"/>
          <w:szCs w:val="26"/>
        </w:rPr>
        <w:t>mic interest</w:t>
      </w:r>
      <w:r w:rsidR="00532AD7">
        <w:rPr>
          <w:rFonts w:ascii="Bookman Old Style" w:hAnsi="Bookman Old Style" w:cs="Bookman Old Style"/>
          <w:sz w:val="26"/>
          <w:szCs w:val="26"/>
        </w:rPr>
        <w:t xml:space="preserve">. </w:t>
      </w:r>
      <w:r w:rsidR="007F0AD4">
        <w:rPr>
          <w:rFonts w:ascii="Bookman Old Style" w:hAnsi="Bookman Old Style" w:cs="Bookman Old Style"/>
          <w:sz w:val="26"/>
          <w:szCs w:val="26"/>
        </w:rPr>
        <w:t xml:space="preserve"> </w:t>
      </w:r>
      <w:r w:rsidR="003145A7" w:rsidRPr="005529CD">
        <w:rPr>
          <w:rFonts w:ascii="Bookman Old Style" w:hAnsi="Bookman Old Style" w:cs="Bookman Old Style"/>
          <w:i/>
          <w:sz w:val="26"/>
          <w:szCs w:val="26"/>
        </w:rPr>
        <w:t xml:space="preserve">Kinzel </w:t>
      </w:r>
      <w:r w:rsidR="00F74B70">
        <w:rPr>
          <w:rFonts w:ascii="Bookman Old Style" w:hAnsi="Bookman Old Style" w:cs="Bookman Old Style"/>
          <w:sz w:val="26"/>
          <w:szCs w:val="26"/>
        </w:rPr>
        <w:t xml:space="preserve">reversed summary judgment for </w:t>
      </w:r>
      <w:r w:rsidR="00181037">
        <w:rPr>
          <w:rFonts w:ascii="Bookman Old Style" w:hAnsi="Bookman Old Style" w:cs="Bookman Old Style"/>
          <w:sz w:val="26"/>
          <w:szCs w:val="26"/>
        </w:rPr>
        <w:t xml:space="preserve">a </w:t>
      </w:r>
      <w:r w:rsidR="00F74B70">
        <w:rPr>
          <w:rFonts w:ascii="Bookman Old Style" w:hAnsi="Bookman Old Style" w:cs="Bookman Old Style"/>
          <w:sz w:val="26"/>
          <w:szCs w:val="26"/>
        </w:rPr>
        <w:t>defendant</w:t>
      </w:r>
      <w:r w:rsidR="00E45DE8">
        <w:rPr>
          <w:rFonts w:ascii="Bookman Old Style" w:hAnsi="Bookman Old Style" w:cs="Bookman Old Style"/>
          <w:sz w:val="26"/>
          <w:szCs w:val="26"/>
        </w:rPr>
        <w:t>, notwithstanding the defendant’s direct financial interest</w:t>
      </w:r>
      <w:r w:rsidR="00BA6E1A">
        <w:rPr>
          <w:rFonts w:ascii="Bookman Old Style" w:hAnsi="Bookman Old Style" w:cs="Bookman Old Style"/>
          <w:sz w:val="26"/>
          <w:szCs w:val="26"/>
        </w:rPr>
        <w:t>,</w:t>
      </w:r>
      <w:r w:rsidR="00F74B70">
        <w:rPr>
          <w:rFonts w:ascii="Bookman Old Style" w:hAnsi="Bookman Old Style" w:cs="Bookman Old Style"/>
          <w:sz w:val="26"/>
          <w:szCs w:val="26"/>
        </w:rPr>
        <w:t xml:space="preserve"> </w:t>
      </w:r>
      <w:r w:rsidR="00BA6E1A">
        <w:rPr>
          <w:rFonts w:ascii="Bookman Old Style" w:hAnsi="Bookman Old Style" w:cs="Bookman Old Style"/>
          <w:sz w:val="26"/>
          <w:szCs w:val="26"/>
        </w:rPr>
        <w:t>where there was evidence that the defendant’s primary motivation was retaliation for an employee’s safety complaints.</w:t>
      </w:r>
      <w:r w:rsidR="00BA6E1A" w:rsidRPr="005907CC">
        <w:rPr>
          <w:rFonts w:ascii="Bookman Old Style" w:hAnsi="Bookman Old Style" w:cs="Bookman Old Style"/>
          <w:sz w:val="26"/>
          <w:szCs w:val="26"/>
        </w:rPr>
        <w:t xml:space="preserve"> </w:t>
      </w:r>
      <w:r w:rsidR="007F0AD4">
        <w:rPr>
          <w:rFonts w:ascii="Bookman Old Style" w:hAnsi="Bookman Old Style" w:cs="Bookman Old Style"/>
          <w:sz w:val="26"/>
          <w:szCs w:val="26"/>
        </w:rPr>
        <w:t xml:space="preserve"> </w:t>
      </w:r>
      <w:r w:rsidR="005907CC" w:rsidRPr="005529CD">
        <w:rPr>
          <w:rFonts w:ascii="Bookman Old Style" w:hAnsi="Bookman Old Style" w:cs="Bookman Old Style"/>
          <w:sz w:val="26"/>
          <w:szCs w:val="26"/>
        </w:rPr>
        <w:t xml:space="preserve">93 P.3d </w:t>
      </w:r>
      <w:r w:rsidR="005907CC">
        <w:rPr>
          <w:rFonts w:ascii="Bookman Old Style" w:hAnsi="Bookman Old Style" w:cs="Bookman Old Style"/>
          <w:sz w:val="26"/>
          <w:szCs w:val="26"/>
        </w:rPr>
        <w:t>at</w:t>
      </w:r>
      <w:r w:rsidR="005907CC" w:rsidRPr="005529CD">
        <w:rPr>
          <w:rFonts w:ascii="Bookman Old Style" w:hAnsi="Bookman Old Style" w:cs="Bookman Old Style"/>
          <w:sz w:val="26"/>
          <w:szCs w:val="26"/>
        </w:rPr>
        <w:t xml:space="preserve"> 44</w:t>
      </w:r>
      <w:r w:rsidR="005907CC">
        <w:rPr>
          <w:rFonts w:ascii="Bookman Old Style" w:hAnsi="Bookman Old Style" w:cs="Bookman Old Style"/>
          <w:sz w:val="26"/>
          <w:szCs w:val="26"/>
        </w:rPr>
        <w:t>4.</w:t>
      </w:r>
      <w:r w:rsidR="005907CC" w:rsidRPr="005529CD">
        <w:rPr>
          <w:rFonts w:ascii="Bookman Old Style" w:hAnsi="Bookman Old Style" w:cs="Bookman Old Style"/>
          <w:sz w:val="26"/>
          <w:szCs w:val="26"/>
        </w:rPr>
        <w:t xml:space="preserve"> </w:t>
      </w:r>
      <w:r w:rsidR="000959E1">
        <w:rPr>
          <w:rFonts w:ascii="Bookman Old Style" w:hAnsi="Bookman Old Style" w:cs="Bookman Old Style"/>
          <w:sz w:val="26"/>
          <w:szCs w:val="26"/>
        </w:rPr>
        <w:t xml:space="preserve"> </w:t>
      </w:r>
      <w:r w:rsidR="000959E1" w:rsidRPr="005755BB">
        <w:rPr>
          <w:rFonts w:ascii="Bookman Old Style" w:hAnsi="Bookman Old Style" w:cs="Bookman Old Style"/>
          <w:i/>
          <w:sz w:val="26"/>
          <w:szCs w:val="26"/>
        </w:rPr>
        <w:t>Alyeska</w:t>
      </w:r>
      <w:r w:rsidR="000959E1">
        <w:rPr>
          <w:rFonts w:ascii="Bookman Old Style" w:hAnsi="Bookman Old Style" w:cs="Bookman Old Style"/>
          <w:sz w:val="26"/>
          <w:szCs w:val="26"/>
        </w:rPr>
        <w:t xml:space="preserve"> affirmed judgment for the </w:t>
      </w:r>
      <w:r w:rsidR="00E45DE8">
        <w:rPr>
          <w:rFonts w:ascii="Bookman Old Style" w:hAnsi="Bookman Old Style" w:cs="Bookman Old Style"/>
          <w:sz w:val="26"/>
          <w:szCs w:val="26"/>
        </w:rPr>
        <w:t>plaintiff not</w:t>
      </w:r>
      <w:r w:rsidR="0067010D">
        <w:rPr>
          <w:rFonts w:ascii="Bookman Old Style" w:hAnsi="Bookman Old Style" w:cs="Bookman Old Style"/>
          <w:sz w:val="26"/>
          <w:szCs w:val="26"/>
        </w:rPr>
        <w:t xml:space="preserve">withstanding </w:t>
      </w:r>
      <w:r w:rsidR="00181037">
        <w:rPr>
          <w:rFonts w:ascii="Bookman Old Style" w:hAnsi="Bookman Old Style" w:cs="Bookman Old Style"/>
          <w:sz w:val="26"/>
          <w:szCs w:val="26"/>
        </w:rPr>
        <w:t xml:space="preserve">the </w:t>
      </w:r>
      <w:r w:rsidR="00B95A52">
        <w:rPr>
          <w:rFonts w:ascii="Bookman Old Style" w:hAnsi="Bookman Old Style" w:cs="Bookman Old Style"/>
          <w:sz w:val="26"/>
          <w:szCs w:val="26"/>
        </w:rPr>
        <w:t xml:space="preserve">defendant’s </w:t>
      </w:r>
      <w:r w:rsidR="0067010D">
        <w:rPr>
          <w:rFonts w:ascii="Bookman Old Style" w:hAnsi="Bookman Old Style" w:cs="Bookman Old Style"/>
          <w:sz w:val="26"/>
          <w:szCs w:val="26"/>
        </w:rPr>
        <w:t>eco</w:t>
      </w:r>
      <w:r w:rsidR="005011EF">
        <w:rPr>
          <w:rFonts w:ascii="Bookman Old Style" w:hAnsi="Bookman Old Style" w:cs="Bookman Old Style"/>
          <w:sz w:val="26"/>
          <w:szCs w:val="26"/>
        </w:rPr>
        <w:t>no</w:t>
      </w:r>
      <w:r w:rsidR="0067010D">
        <w:rPr>
          <w:rFonts w:ascii="Bookman Old Style" w:hAnsi="Bookman Old Style" w:cs="Bookman Old Style"/>
          <w:sz w:val="26"/>
          <w:szCs w:val="26"/>
        </w:rPr>
        <w:t xml:space="preserve">mic interest where there was evidence </w:t>
      </w:r>
      <w:r w:rsidR="005B5BF0">
        <w:rPr>
          <w:rFonts w:ascii="Bookman Old Style" w:hAnsi="Bookman Old Style" w:cs="Bookman Old Style"/>
          <w:sz w:val="26"/>
          <w:szCs w:val="26"/>
        </w:rPr>
        <w:t xml:space="preserve">that the defendant was </w:t>
      </w:r>
      <w:r w:rsidR="005B5BF0">
        <w:rPr>
          <w:rFonts w:ascii="Bookman Old Style" w:hAnsi="Bookman Old Style" w:cs="Bookman Old Style"/>
          <w:sz w:val="26"/>
          <w:szCs w:val="26"/>
        </w:rPr>
        <w:lastRenderedPageBreak/>
        <w:t xml:space="preserve">motivated by a prior dispute over </w:t>
      </w:r>
      <w:r w:rsidR="00B95A52">
        <w:rPr>
          <w:rFonts w:ascii="Bookman Old Style" w:hAnsi="Bookman Old Style" w:cs="Bookman Old Style"/>
          <w:sz w:val="26"/>
          <w:szCs w:val="26"/>
        </w:rPr>
        <w:t xml:space="preserve">an </w:t>
      </w:r>
      <w:r w:rsidR="0067010D">
        <w:rPr>
          <w:rFonts w:ascii="Bookman Old Style" w:hAnsi="Bookman Old Style" w:cs="Bookman Old Style"/>
          <w:sz w:val="26"/>
          <w:szCs w:val="26"/>
        </w:rPr>
        <w:t>unrelated contract.</w:t>
      </w:r>
      <w:r w:rsidR="003145A7">
        <w:rPr>
          <w:rFonts w:ascii="Bookman Old Style" w:hAnsi="Bookman Old Style" w:cs="Bookman Old Style"/>
          <w:sz w:val="26"/>
          <w:szCs w:val="26"/>
        </w:rPr>
        <w:t xml:space="preserve">  </w:t>
      </w:r>
      <w:r w:rsidR="00A929FB" w:rsidRPr="000A0A49">
        <w:rPr>
          <w:rFonts w:ascii="Bookman Old Style" w:hAnsi="Bookman Old Style" w:cs="Bookman Old Style"/>
          <w:sz w:val="26"/>
          <w:szCs w:val="26"/>
        </w:rPr>
        <w:t>604 P.2d at 1094.</w:t>
      </w:r>
      <w:r w:rsidR="00DA5DE8">
        <w:rPr>
          <w:rFonts w:ascii="Bookman Old Style" w:hAnsi="Bookman Old Style" w:cs="Bookman Old Style"/>
          <w:sz w:val="26"/>
          <w:szCs w:val="26"/>
        </w:rPr>
        <w:t xml:space="preserve"> </w:t>
      </w:r>
    </w:p>
    <w:p w:rsidR="003370DF" w:rsidRDefault="003370DF" w:rsidP="00A929FB">
      <w:pPr>
        <w:jc w:val="both"/>
        <w:rPr>
          <w:rFonts w:ascii="Bookman Old Style" w:hAnsi="Bookman Old Style" w:cs="Bookman Old Style"/>
          <w:sz w:val="26"/>
          <w:szCs w:val="26"/>
        </w:rPr>
      </w:pPr>
    </w:p>
    <w:p w:rsidR="006634F6" w:rsidRDefault="00611F10" w:rsidP="00AB239D">
      <w:pPr>
        <w:jc w:val="both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 xml:space="preserve">The </w:t>
      </w:r>
      <w:r w:rsidR="00AA3BBA">
        <w:rPr>
          <w:rFonts w:ascii="Bookman Old Style" w:hAnsi="Bookman Old Style" w:cs="Bookman Old Style"/>
          <w:sz w:val="26"/>
          <w:szCs w:val="26"/>
        </w:rPr>
        <w:t xml:space="preserve">means used </w:t>
      </w:r>
      <w:r>
        <w:rPr>
          <w:rFonts w:ascii="Bookman Old Style" w:hAnsi="Bookman Old Style" w:cs="Bookman Old Style"/>
          <w:sz w:val="26"/>
          <w:szCs w:val="26"/>
        </w:rPr>
        <w:t xml:space="preserve">to protect the interest </w:t>
      </w:r>
      <w:r w:rsidR="00AA3BBA">
        <w:rPr>
          <w:rFonts w:ascii="Bookman Old Style" w:hAnsi="Bookman Old Style" w:cs="Bookman Old Style"/>
          <w:sz w:val="26"/>
          <w:szCs w:val="26"/>
        </w:rPr>
        <w:t xml:space="preserve">must be "appropriate." </w:t>
      </w:r>
      <w:r w:rsidR="007F0AD4">
        <w:rPr>
          <w:rFonts w:ascii="Bookman Old Style" w:hAnsi="Bookman Old Style" w:cs="Bookman Old Style"/>
          <w:sz w:val="26"/>
          <w:szCs w:val="26"/>
        </w:rPr>
        <w:t xml:space="preserve"> </w:t>
      </w:r>
      <w:r w:rsidR="00BF47A5">
        <w:rPr>
          <w:rFonts w:ascii="Bookman Old Style" w:hAnsi="Bookman Old Style" w:cs="Bookman Old Style"/>
          <w:i/>
          <w:sz w:val="26"/>
          <w:szCs w:val="26"/>
        </w:rPr>
        <w:t xml:space="preserve">E.g., </w:t>
      </w:r>
      <w:r w:rsidR="00B157D0" w:rsidRPr="00DA1FBC">
        <w:rPr>
          <w:rFonts w:ascii="Bookman Old Style" w:hAnsi="Bookman Old Style" w:cs="Bookman Old Style"/>
          <w:i/>
          <w:sz w:val="26"/>
          <w:szCs w:val="26"/>
        </w:rPr>
        <w:t>Bendix Corp.</w:t>
      </w:r>
      <w:r w:rsidR="00B157D0" w:rsidRPr="00B157D0">
        <w:rPr>
          <w:rFonts w:ascii="Bookman Old Style" w:hAnsi="Bookman Old Style" w:cs="Bookman Old Style"/>
          <w:sz w:val="26"/>
          <w:szCs w:val="26"/>
        </w:rPr>
        <w:t xml:space="preserve">, 610 P.2d </w:t>
      </w:r>
      <w:r w:rsidR="005F4A4C">
        <w:rPr>
          <w:rFonts w:ascii="Bookman Old Style" w:hAnsi="Bookman Old Style" w:cs="Bookman Old Style"/>
          <w:sz w:val="26"/>
          <w:szCs w:val="26"/>
        </w:rPr>
        <w:t>at</w:t>
      </w:r>
      <w:r w:rsidR="00B157D0" w:rsidRPr="00B157D0">
        <w:rPr>
          <w:rFonts w:ascii="Bookman Old Style" w:hAnsi="Bookman Old Style" w:cs="Bookman Old Style"/>
          <w:sz w:val="26"/>
          <w:szCs w:val="26"/>
        </w:rPr>
        <w:t xml:space="preserve"> </w:t>
      </w:r>
      <w:r w:rsidR="00B157D0">
        <w:rPr>
          <w:rFonts w:ascii="Bookman Old Style" w:hAnsi="Bookman Old Style" w:cs="Bookman Old Style"/>
          <w:sz w:val="26"/>
          <w:szCs w:val="26"/>
        </w:rPr>
        <w:t>30</w:t>
      </w:r>
      <w:r w:rsidR="00B95A52">
        <w:rPr>
          <w:rFonts w:ascii="Bookman Old Style" w:hAnsi="Bookman Old Style" w:cs="Bookman Old Style"/>
          <w:sz w:val="26"/>
          <w:szCs w:val="26"/>
        </w:rPr>
        <w:t xml:space="preserve"> </w:t>
      </w:r>
      <w:r w:rsidR="00B157D0" w:rsidRPr="00B157D0">
        <w:rPr>
          <w:rFonts w:ascii="Bookman Old Style" w:hAnsi="Bookman Old Style" w:cs="Bookman Old Style"/>
          <w:sz w:val="26"/>
          <w:szCs w:val="26"/>
        </w:rPr>
        <w:t>(“Where the means used are improper, such as where a defendant tears down his competitor's sign, or converts a carload of his goods and causes the post office to misdeliver his mail, the results are obvious”)</w:t>
      </w:r>
      <w:r w:rsidR="00B157D0">
        <w:rPr>
          <w:rFonts w:ascii="Bookman Old Style" w:hAnsi="Bookman Old Style" w:cs="Bookman Old Style"/>
          <w:sz w:val="26"/>
          <w:szCs w:val="26"/>
        </w:rPr>
        <w:t xml:space="preserve">; </w:t>
      </w:r>
      <w:r w:rsidR="00B157D0" w:rsidRPr="002E3024">
        <w:rPr>
          <w:rFonts w:ascii="Bookman Old Style" w:hAnsi="Bookman Old Style" w:cs="Bookman Old Style"/>
          <w:i/>
          <w:snapToGrid w:val="0"/>
          <w:sz w:val="26"/>
          <w:szCs w:val="26"/>
        </w:rPr>
        <w:t>Alyeska Pipeline Service Co.</w:t>
      </w:r>
      <w:r w:rsidR="00B157D0">
        <w:rPr>
          <w:rFonts w:ascii="Bookman Old Style" w:hAnsi="Bookman Old Style" w:cs="Bookman Old Style"/>
          <w:sz w:val="26"/>
          <w:szCs w:val="26"/>
        </w:rPr>
        <w:t xml:space="preserve">, 604 P.2d at 1094 </w:t>
      </w:r>
      <w:r w:rsidR="002564F4">
        <w:rPr>
          <w:rFonts w:ascii="Bookman Old Style" w:hAnsi="Bookman Old Style" w:cs="Bookman Old Style"/>
          <w:sz w:val="26"/>
          <w:szCs w:val="26"/>
        </w:rPr>
        <w:t>(“</w:t>
      </w:r>
      <w:r w:rsidR="002564F4" w:rsidRPr="002564F4">
        <w:rPr>
          <w:rFonts w:ascii="Bookman Old Style" w:hAnsi="Bookman Old Style" w:cs="Bookman Old Style"/>
          <w:sz w:val="26"/>
          <w:szCs w:val="26"/>
        </w:rPr>
        <w:t>In order to negate liability, the justification must be as broad as the act and must cover not only the motive and purpose, but also the means used</w:t>
      </w:r>
      <w:r w:rsidR="002564F4">
        <w:rPr>
          <w:rFonts w:ascii="Bookman Old Style" w:hAnsi="Bookman Old Style" w:cs="Bookman Old Style"/>
          <w:sz w:val="26"/>
          <w:szCs w:val="26"/>
        </w:rPr>
        <w:t>”</w:t>
      </w:r>
      <w:r w:rsidR="00B157D0">
        <w:rPr>
          <w:rFonts w:ascii="Bookman Old Style" w:hAnsi="Bookman Old Style" w:cs="Bookman Old Style"/>
          <w:sz w:val="26"/>
          <w:szCs w:val="26"/>
        </w:rPr>
        <w:t>).</w:t>
      </w:r>
      <w:r w:rsidR="00BD434C">
        <w:rPr>
          <w:rFonts w:ascii="Bookman Old Style" w:hAnsi="Bookman Old Style" w:cs="Bookman Old Style"/>
          <w:sz w:val="26"/>
          <w:szCs w:val="26"/>
        </w:rPr>
        <w:t xml:space="preserve"> </w:t>
      </w:r>
    </w:p>
    <w:p w:rsidR="00A044E5" w:rsidRDefault="00A044E5" w:rsidP="005755BB">
      <w:pPr>
        <w:widowControl w:val="0"/>
        <w:adjustRightInd w:val="0"/>
        <w:jc w:val="both"/>
        <w:rPr>
          <w:rFonts w:ascii="Bookman Old Style" w:hAnsi="Bookman Old Style"/>
          <w:sz w:val="26"/>
          <w:szCs w:val="26"/>
        </w:rPr>
      </w:pPr>
    </w:p>
    <w:p w:rsidR="00A044E5" w:rsidRDefault="00A044E5" w:rsidP="00A044E5">
      <w:pPr>
        <w:widowControl w:val="0"/>
        <w:adjustRightInd w:val="0"/>
        <w:jc w:val="both"/>
        <w:rPr>
          <w:rFonts w:ascii="Bookman Old Style" w:hAnsi="Bookman Old Style"/>
          <w:sz w:val="26"/>
          <w:szCs w:val="26"/>
        </w:rPr>
      </w:pPr>
      <w:r w:rsidRPr="00A044E5">
        <w:rPr>
          <w:rFonts w:ascii="Bookman Old Style" w:hAnsi="Bookman Old Style"/>
          <w:sz w:val="26"/>
          <w:szCs w:val="26"/>
        </w:rPr>
        <w:t xml:space="preserve">The Alaska </w:t>
      </w:r>
      <w:r w:rsidR="0021307E">
        <w:rPr>
          <w:rFonts w:ascii="Bookman Old Style" w:hAnsi="Bookman Old Style"/>
          <w:sz w:val="26"/>
          <w:szCs w:val="26"/>
        </w:rPr>
        <w:t>Supreme C</w:t>
      </w:r>
      <w:r w:rsidRPr="00A044E5">
        <w:rPr>
          <w:rFonts w:ascii="Bookman Old Style" w:hAnsi="Bookman Old Style"/>
          <w:sz w:val="26"/>
          <w:szCs w:val="26"/>
        </w:rPr>
        <w:t>ourt has considere</w:t>
      </w:r>
      <w:r w:rsidR="00E56FC0">
        <w:rPr>
          <w:rFonts w:ascii="Bookman Old Style" w:hAnsi="Bookman Old Style"/>
          <w:sz w:val="26"/>
          <w:szCs w:val="26"/>
        </w:rPr>
        <w:t xml:space="preserve">d the seven factors set out in </w:t>
      </w:r>
      <w:r w:rsidRPr="00A044E5">
        <w:rPr>
          <w:rFonts w:ascii="Bookman Old Style" w:hAnsi="Bookman Old Style"/>
          <w:sz w:val="26"/>
          <w:szCs w:val="26"/>
        </w:rPr>
        <w:t>the Resta</w:t>
      </w:r>
      <w:r w:rsidR="00E56FC0">
        <w:rPr>
          <w:rFonts w:ascii="Bookman Old Style" w:hAnsi="Bookman Old Style"/>
          <w:sz w:val="26"/>
          <w:szCs w:val="26"/>
        </w:rPr>
        <w:t xml:space="preserve">tement (Second) of Torts § 767 </w:t>
      </w:r>
      <w:r w:rsidRPr="00A044E5">
        <w:rPr>
          <w:rFonts w:ascii="Bookman Old Style" w:hAnsi="Bookman Old Style"/>
          <w:sz w:val="26"/>
          <w:szCs w:val="26"/>
        </w:rPr>
        <w:t xml:space="preserve">that </w:t>
      </w:r>
      <w:r w:rsidR="00A30F8C">
        <w:rPr>
          <w:rFonts w:ascii="Bookman Old Style" w:hAnsi="Bookman Old Style"/>
          <w:sz w:val="26"/>
          <w:szCs w:val="26"/>
        </w:rPr>
        <w:t xml:space="preserve">are to </w:t>
      </w:r>
      <w:r w:rsidRPr="00A044E5">
        <w:rPr>
          <w:rFonts w:ascii="Bookman Old Style" w:hAnsi="Bookman Old Style"/>
          <w:sz w:val="26"/>
          <w:szCs w:val="26"/>
        </w:rPr>
        <w:t xml:space="preserve">be balanced to </w:t>
      </w:r>
      <w:r w:rsidR="0021307E">
        <w:rPr>
          <w:rFonts w:ascii="Bookman Old Style" w:hAnsi="Bookman Old Style"/>
          <w:sz w:val="26"/>
          <w:szCs w:val="26"/>
        </w:rPr>
        <w:t>determine when interference is improper</w:t>
      </w:r>
      <w:r w:rsidRPr="00A044E5">
        <w:rPr>
          <w:rFonts w:ascii="Bookman Old Style" w:hAnsi="Bookman Old Style"/>
          <w:sz w:val="26"/>
          <w:szCs w:val="26"/>
        </w:rPr>
        <w:t xml:space="preserve">:  (1) the means employed; (2) the nature of the rights interfered with; (3) the relation between the defendant and the parties to the contract; (4) the interests which the defendant sought to protect; (5) the social interests involved; (6) the proximity of the conduct to the interference; and (7) the motive involved.  </w:t>
      </w:r>
      <w:r w:rsidRPr="005755BB">
        <w:rPr>
          <w:rFonts w:ascii="Bookman Old Style" w:hAnsi="Bookman Old Style"/>
          <w:i/>
          <w:sz w:val="26"/>
          <w:szCs w:val="26"/>
        </w:rPr>
        <w:t>RAN Corp</w:t>
      </w:r>
      <w:r w:rsidR="00C07F93">
        <w:rPr>
          <w:rFonts w:ascii="Bookman Old Style" w:hAnsi="Bookman Old Style"/>
          <w:sz w:val="26"/>
          <w:szCs w:val="26"/>
        </w:rPr>
        <w:t>., 823 P.2d at 648 n.</w:t>
      </w:r>
      <w:r w:rsidRPr="00A044E5">
        <w:rPr>
          <w:rFonts w:ascii="Bookman Old Style" w:hAnsi="Bookman Old Style"/>
          <w:sz w:val="26"/>
          <w:szCs w:val="26"/>
        </w:rPr>
        <w:t xml:space="preserve">2; </w:t>
      </w:r>
      <w:r w:rsidRPr="005755BB">
        <w:rPr>
          <w:rFonts w:ascii="Bookman Old Style" w:hAnsi="Bookman Old Style"/>
          <w:i/>
          <w:sz w:val="26"/>
          <w:szCs w:val="26"/>
        </w:rPr>
        <w:t>Bendix Corp</w:t>
      </w:r>
      <w:r w:rsidRPr="00A044E5">
        <w:rPr>
          <w:rFonts w:ascii="Bookman Old Style" w:hAnsi="Bookman Old Style"/>
          <w:sz w:val="26"/>
          <w:szCs w:val="26"/>
        </w:rPr>
        <w:t xml:space="preserve">., 610 P.2d at 30 n.10.  But while acknowledging that these factors may be appropriate considerations, the Alaska court has twice declined to adopt </w:t>
      </w:r>
      <w:r w:rsidR="001564F8">
        <w:rPr>
          <w:rFonts w:ascii="Bookman Old Style" w:hAnsi="Bookman Old Style"/>
          <w:sz w:val="26"/>
          <w:szCs w:val="26"/>
        </w:rPr>
        <w:t xml:space="preserve">the section 767 factors on grounds that </w:t>
      </w:r>
      <w:r w:rsidRPr="00A044E5">
        <w:rPr>
          <w:rFonts w:ascii="Bookman Old Style" w:hAnsi="Bookman Old Style"/>
          <w:sz w:val="26"/>
          <w:szCs w:val="26"/>
        </w:rPr>
        <w:t>they are not an effective mechanism for resolving the issue of privilege or justification.</w:t>
      </w:r>
      <w:r w:rsidR="00EF74E3">
        <w:rPr>
          <w:rFonts w:ascii="Bookman Old Style" w:hAnsi="Bookman Old Style"/>
          <w:sz w:val="26"/>
          <w:szCs w:val="26"/>
        </w:rPr>
        <w:t xml:space="preserve"> </w:t>
      </w:r>
      <w:r w:rsidR="007F0AD4">
        <w:rPr>
          <w:rFonts w:ascii="Bookman Old Style" w:hAnsi="Bookman Old Style"/>
          <w:sz w:val="26"/>
          <w:szCs w:val="26"/>
        </w:rPr>
        <w:t xml:space="preserve"> </w:t>
      </w:r>
      <w:r w:rsidRPr="005755BB">
        <w:rPr>
          <w:rFonts w:ascii="Bookman Old Style" w:hAnsi="Bookman Old Style"/>
          <w:i/>
          <w:sz w:val="26"/>
          <w:szCs w:val="26"/>
        </w:rPr>
        <w:t>RAN Corp.</w:t>
      </w:r>
      <w:r w:rsidRPr="00A044E5">
        <w:rPr>
          <w:rFonts w:ascii="Bookman Old Style" w:hAnsi="Bookman Old Style"/>
          <w:sz w:val="26"/>
          <w:szCs w:val="26"/>
        </w:rPr>
        <w:t>, 823 P.2d at 648</w:t>
      </w:r>
      <w:r>
        <w:rPr>
          <w:rFonts w:ascii="Bookman Old Style" w:hAnsi="Bookman Old Style"/>
          <w:sz w:val="26"/>
          <w:szCs w:val="26"/>
        </w:rPr>
        <w:t>;</w:t>
      </w:r>
      <w:r w:rsidRPr="00A044E5">
        <w:rPr>
          <w:rFonts w:ascii="Bookman Old Style" w:hAnsi="Bookman Old Style"/>
          <w:sz w:val="26"/>
          <w:szCs w:val="26"/>
        </w:rPr>
        <w:t xml:space="preserve"> </w:t>
      </w:r>
      <w:r w:rsidRPr="005755BB">
        <w:rPr>
          <w:rFonts w:ascii="Bookman Old Style" w:hAnsi="Bookman Old Style"/>
          <w:i/>
          <w:sz w:val="26"/>
          <w:szCs w:val="26"/>
        </w:rPr>
        <w:t>Bendix Corp</w:t>
      </w:r>
      <w:r w:rsidRPr="00A044E5">
        <w:rPr>
          <w:rFonts w:ascii="Bookman Old Style" w:hAnsi="Bookman Old Style"/>
          <w:sz w:val="26"/>
          <w:szCs w:val="26"/>
        </w:rPr>
        <w:t xml:space="preserve">., 610 P.2d at 30.  </w:t>
      </w:r>
    </w:p>
    <w:p w:rsidR="00EF74E3" w:rsidRDefault="00EF74E3" w:rsidP="00A044E5">
      <w:pPr>
        <w:widowControl w:val="0"/>
        <w:adjustRightInd w:val="0"/>
        <w:jc w:val="both"/>
        <w:rPr>
          <w:rFonts w:ascii="Bookman Old Style" w:hAnsi="Bookman Old Style"/>
          <w:sz w:val="26"/>
          <w:szCs w:val="26"/>
        </w:rPr>
      </w:pPr>
    </w:p>
    <w:p w:rsidR="00AB239D" w:rsidRPr="00DF045E" w:rsidRDefault="00AB239D" w:rsidP="00AB239D">
      <w:pPr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Instruction 19.03 is consistent with Alaska case law that provides </w:t>
      </w:r>
      <w:r w:rsidR="000D3B6E">
        <w:rPr>
          <w:rFonts w:ascii="Bookman Old Style" w:hAnsi="Bookman Old Style" w:cs="Bookman Old Style"/>
          <w:snapToGrid w:val="0"/>
          <w:sz w:val="26"/>
          <w:szCs w:val="26"/>
        </w:rPr>
        <w:t xml:space="preserve">that the 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plaintiff bears the burden of proof to show that </w:t>
      </w:r>
      <w:r w:rsidR="001564F8">
        <w:rPr>
          <w:rFonts w:ascii="Bookman Old Style" w:hAnsi="Bookman Old Style" w:cs="Bookman Old Style"/>
          <w:snapToGrid w:val="0"/>
          <w:sz w:val="26"/>
          <w:szCs w:val="26"/>
        </w:rPr>
        <w:t xml:space="preserve">the </w:t>
      </w:r>
      <w:r>
        <w:rPr>
          <w:rFonts w:ascii="Bookman Old Style" w:hAnsi="Bookman Old Style" w:cs="Bookman Old Style"/>
          <w:snapToGrid w:val="0"/>
          <w:sz w:val="26"/>
          <w:szCs w:val="26"/>
        </w:rPr>
        <w:t>defendant’s conduct was not justified or privileged</w:t>
      </w:r>
      <w:r w:rsidR="001A02DD">
        <w:rPr>
          <w:rFonts w:ascii="Bookman Old Style" w:hAnsi="Bookman Old Style" w:cs="Bookman Old Style"/>
          <w:snapToGrid w:val="0"/>
          <w:sz w:val="26"/>
          <w:szCs w:val="26"/>
        </w:rPr>
        <w:t>.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7F0AD4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Pr="00671B05">
        <w:rPr>
          <w:rFonts w:ascii="Bookman Old Style" w:hAnsi="Bookman Old Style" w:cs="Bookman Old Style"/>
          <w:i/>
          <w:snapToGrid w:val="0"/>
          <w:sz w:val="26"/>
          <w:szCs w:val="26"/>
        </w:rPr>
        <w:t>E.g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., </w:t>
      </w:r>
      <w:r w:rsidR="006634F6">
        <w:rPr>
          <w:rFonts w:ascii="Bookman Old Style" w:hAnsi="Bookman Old Style" w:cs="Bookman Old Style"/>
          <w:i/>
          <w:sz w:val="26"/>
          <w:szCs w:val="26"/>
        </w:rPr>
        <w:t>Kinzel</w:t>
      </w:r>
      <w:r w:rsidRPr="005529CD">
        <w:rPr>
          <w:rFonts w:ascii="Bookman Old Style" w:hAnsi="Bookman Old Style" w:cs="Bookman Old Style"/>
          <w:sz w:val="26"/>
          <w:szCs w:val="26"/>
        </w:rPr>
        <w:t xml:space="preserve">, 93 P.3d </w:t>
      </w:r>
      <w:r w:rsidR="006634F6">
        <w:rPr>
          <w:rFonts w:ascii="Bookman Old Style" w:hAnsi="Bookman Old Style" w:cs="Bookman Old Style"/>
          <w:sz w:val="26"/>
          <w:szCs w:val="26"/>
        </w:rPr>
        <w:t>at</w:t>
      </w:r>
      <w:r w:rsidRPr="005529CD">
        <w:rPr>
          <w:rFonts w:ascii="Bookman Old Style" w:hAnsi="Bookman Old Style" w:cs="Bookman Old Style"/>
          <w:sz w:val="26"/>
          <w:szCs w:val="26"/>
        </w:rPr>
        <w:t xml:space="preserve"> 443</w:t>
      </w:r>
      <w:r w:rsidR="00C07F93">
        <w:rPr>
          <w:rFonts w:ascii="Bookman Old Style" w:hAnsi="Bookman Old Style" w:cs="Bookman Old Style"/>
          <w:sz w:val="26"/>
          <w:szCs w:val="26"/>
        </w:rPr>
        <w:t xml:space="preserve"> </w:t>
      </w:r>
      <w:r>
        <w:rPr>
          <w:rFonts w:ascii="Bookman Old Style" w:hAnsi="Bookman Old Style" w:cs="Bookman Old Style"/>
          <w:sz w:val="26"/>
          <w:szCs w:val="26"/>
        </w:rPr>
        <w:t xml:space="preserve">(contract); </w:t>
      </w:r>
      <w:r w:rsidR="001A02DD" w:rsidRPr="00D674FD">
        <w:rPr>
          <w:rFonts w:ascii="Bookman Old Style" w:hAnsi="Bookman Old Style" w:cs="Bookman Old Style"/>
          <w:i/>
          <w:snapToGrid w:val="0"/>
          <w:sz w:val="26"/>
          <w:szCs w:val="26"/>
        </w:rPr>
        <w:t xml:space="preserve">Sisters of Providence </w:t>
      </w:r>
      <w:r w:rsidR="001A02DD">
        <w:rPr>
          <w:rFonts w:ascii="Bookman Old Style" w:hAnsi="Bookman Old Style" w:cs="Bookman Old Style"/>
          <w:i/>
          <w:snapToGrid w:val="0"/>
          <w:sz w:val="26"/>
          <w:szCs w:val="26"/>
        </w:rPr>
        <w:t>i</w:t>
      </w:r>
      <w:r w:rsidR="001A02DD" w:rsidRPr="00D674FD">
        <w:rPr>
          <w:rFonts w:ascii="Bookman Old Style" w:hAnsi="Bookman Old Style" w:cs="Bookman Old Style"/>
          <w:i/>
          <w:snapToGrid w:val="0"/>
          <w:sz w:val="26"/>
          <w:szCs w:val="26"/>
        </w:rPr>
        <w:t>n Washington v. A.A. Pain Clinic, Inc.</w:t>
      </w:r>
      <w:r w:rsidR="001A02DD" w:rsidRPr="0016101B">
        <w:rPr>
          <w:rFonts w:ascii="Bookman Old Style" w:hAnsi="Bookman Old Style" w:cs="Bookman Old Style"/>
          <w:snapToGrid w:val="0"/>
          <w:sz w:val="26"/>
          <w:szCs w:val="26"/>
        </w:rPr>
        <w:t>,</w:t>
      </w:r>
      <w:r w:rsidR="001A02DD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1A02DD" w:rsidRPr="0016101B">
        <w:rPr>
          <w:rFonts w:ascii="Bookman Old Style" w:hAnsi="Bookman Old Style" w:cs="Bookman Old Style"/>
          <w:snapToGrid w:val="0"/>
          <w:sz w:val="26"/>
          <w:szCs w:val="26"/>
        </w:rPr>
        <w:t xml:space="preserve">81 P.3d 989, </w:t>
      </w:r>
      <w:r w:rsidR="001A02DD">
        <w:rPr>
          <w:rFonts w:ascii="Bookman Old Style" w:hAnsi="Bookman Old Style" w:cs="Bookman Old Style"/>
          <w:snapToGrid w:val="0"/>
          <w:sz w:val="26"/>
          <w:szCs w:val="26"/>
        </w:rPr>
        <w:t>997</w:t>
      </w:r>
      <w:r w:rsidR="001A02DD" w:rsidRPr="0016101B">
        <w:rPr>
          <w:rFonts w:ascii="Bookman Old Style" w:hAnsi="Bookman Old Style" w:cs="Bookman Old Style"/>
          <w:snapToGrid w:val="0"/>
          <w:sz w:val="26"/>
          <w:szCs w:val="26"/>
        </w:rPr>
        <w:t xml:space="preserve"> (Alaska 2003)</w:t>
      </w:r>
      <w:r w:rsidR="00C07F93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>
        <w:rPr>
          <w:rFonts w:ascii="Bookman Old Style" w:hAnsi="Bookman Old Style" w:cs="Bookman Old Style"/>
          <w:sz w:val="26"/>
          <w:szCs w:val="26"/>
        </w:rPr>
        <w:t xml:space="preserve">(prospective </w:t>
      </w:r>
      <w:r w:rsidR="000D3B6E">
        <w:rPr>
          <w:rFonts w:ascii="Bookman Old Style" w:hAnsi="Bookman Old Style" w:cs="Bookman Old Style"/>
          <w:sz w:val="26"/>
          <w:szCs w:val="26"/>
        </w:rPr>
        <w:t xml:space="preserve">economic </w:t>
      </w:r>
      <w:r>
        <w:rPr>
          <w:rFonts w:ascii="Bookman Old Style" w:hAnsi="Bookman Old Style" w:cs="Bookman Old Style"/>
          <w:sz w:val="26"/>
          <w:szCs w:val="26"/>
        </w:rPr>
        <w:t>relationship).  Before 198</w:t>
      </w:r>
      <w:r w:rsidR="00120EA9">
        <w:rPr>
          <w:rFonts w:ascii="Bookman Old Style" w:hAnsi="Bookman Old Style" w:cs="Bookman Old Style"/>
          <w:sz w:val="26"/>
          <w:szCs w:val="26"/>
        </w:rPr>
        <w:t>6</w:t>
      </w:r>
      <w:r>
        <w:rPr>
          <w:rFonts w:ascii="Bookman Old Style" w:hAnsi="Bookman Old Style" w:cs="Bookman Old Style"/>
          <w:sz w:val="26"/>
          <w:szCs w:val="26"/>
        </w:rPr>
        <w:t xml:space="preserve">, 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Alaska decisions held that </w:t>
      </w:r>
      <w:r w:rsidR="000D3B6E">
        <w:rPr>
          <w:rFonts w:ascii="Bookman Old Style" w:hAnsi="Bookman Old Style" w:cs="Bookman Old Style"/>
          <w:snapToGrid w:val="0"/>
          <w:sz w:val="26"/>
          <w:szCs w:val="26"/>
        </w:rPr>
        <w:t xml:space="preserve">the </w:t>
      </w:r>
      <w:r>
        <w:rPr>
          <w:rFonts w:ascii="Bookman Old Style" w:hAnsi="Bookman Old Style" w:cs="Bookman Old Style"/>
          <w:snapToGrid w:val="0"/>
          <w:sz w:val="26"/>
          <w:szCs w:val="26"/>
        </w:rPr>
        <w:t>defendant bore the b</w:t>
      </w:r>
      <w:r w:rsidR="000D3B6E">
        <w:rPr>
          <w:rFonts w:ascii="Bookman Old Style" w:hAnsi="Bookman Old Style" w:cs="Bookman Old Style"/>
          <w:snapToGrid w:val="0"/>
          <w:sz w:val="26"/>
          <w:szCs w:val="26"/>
        </w:rPr>
        <w:t>urden of proof to s</w:t>
      </w:r>
      <w:r w:rsidR="004048F0">
        <w:rPr>
          <w:rFonts w:ascii="Bookman Old Style" w:hAnsi="Bookman Old Style" w:cs="Bookman Old Style"/>
          <w:snapToGrid w:val="0"/>
          <w:sz w:val="26"/>
          <w:szCs w:val="26"/>
        </w:rPr>
        <w:t xml:space="preserve">how </w:t>
      </w:r>
      <w:r w:rsidR="000D3B6E">
        <w:rPr>
          <w:rFonts w:ascii="Bookman Old Style" w:hAnsi="Bookman Old Style" w:cs="Bookman Old Style"/>
          <w:snapToGrid w:val="0"/>
          <w:sz w:val="26"/>
          <w:szCs w:val="26"/>
        </w:rPr>
        <w:t xml:space="preserve">the 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conduct that caused the breach was justified or privileged.  </w:t>
      </w:r>
      <w:r w:rsidRPr="002E3024">
        <w:rPr>
          <w:rFonts w:ascii="Bookman Old Style" w:hAnsi="Bookman Old Style" w:cs="Bookman Old Style"/>
          <w:i/>
          <w:snapToGrid w:val="0"/>
          <w:sz w:val="26"/>
          <w:szCs w:val="26"/>
        </w:rPr>
        <w:t>E.g.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, </w:t>
      </w:r>
      <w:r w:rsidRPr="002E3024">
        <w:rPr>
          <w:rFonts w:ascii="Bookman Old Style" w:hAnsi="Bookman Old Style" w:cs="Bookman Old Style"/>
          <w:i/>
          <w:snapToGrid w:val="0"/>
          <w:sz w:val="26"/>
          <w:szCs w:val="26"/>
        </w:rPr>
        <w:t>Bendix Corp.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, </w:t>
      </w:r>
      <w:r w:rsidRPr="00936FDF">
        <w:rPr>
          <w:rFonts w:ascii="Bookman Old Style" w:hAnsi="Bookman Old Style" w:cs="Bookman Old Style"/>
          <w:snapToGrid w:val="0"/>
          <w:sz w:val="26"/>
          <w:szCs w:val="26"/>
        </w:rPr>
        <w:t xml:space="preserve">610 P.2d </w:t>
      </w:r>
      <w:r w:rsidR="006634F6">
        <w:rPr>
          <w:rFonts w:ascii="Bookman Old Style" w:hAnsi="Bookman Old Style" w:cs="Bookman Old Style"/>
          <w:snapToGrid w:val="0"/>
          <w:sz w:val="26"/>
          <w:szCs w:val="26"/>
        </w:rPr>
        <w:t>at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 29</w:t>
      </w:r>
      <w:r w:rsidR="009913E6">
        <w:rPr>
          <w:rFonts w:ascii="Bookman Old Style" w:hAnsi="Bookman Old Style" w:cs="Bookman Old Style"/>
          <w:snapToGrid w:val="0"/>
          <w:sz w:val="26"/>
          <w:szCs w:val="26"/>
        </w:rPr>
        <w:t>.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7F0AD4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But in </w:t>
      </w:r>
      <w:r w:rsidRPr="005529CD">
        <w:rPr>
          <w:rFonts w:ascii="Bookman Old Style" w:hAnsi="Bookman Old Style" w:cs="Bookman Old Style"/>
          <w:i/>
          <w:snapToGrid w:val="0"/>
          <w:sz w:val="26"/>
          <w:szCs w:val="26"/>
        </w:rPr>
        <w:t>Knight v. American Guard &amp; Alert, Inc.</w:t>
      </w:r>
      <w:r w:rsidRPr="0079522F">
        <w:rPr>
          <w:rFonts w:ascii="Bookman Old Style" w:hAnsi="Bookman Old Style" w:cs="Bookman Old Style"/>
          <w:snapToGrid w:val="0"/>
          <w:sz w:val="26"/>
          <w:szCs w:val="26"/>
        </w:rPr>
        <w:t xml:space="preserve">, 714 P.2d 788, </w:t>
      </w:r>
      <w:r>
        <w:rPr>
          <w:rFonts w:ascii="Bookman Old Style" w:hAnsi="Bookman Old Style" w:cs="Bookman Old Style"/>
          <w:snapToGrid w:val="0"/>
          <w:sz w:val="26"/>
          <w:szCs w:val="26"/>
        </w:rPr>
        <w:t>793</w:t>
      </w:r>
      <w:r w:rsidRPr="0079522F">
        <w:rPr>
          <w:rFonts w:ascii="Bookman Old Style" w:hAnsi="Bookman Old Style" w:cs="Bookman Old Style"/>
          <w:snapToGrid w:val="0"/>
          <w:sz w:val="26"/>
          <w:szCs w:val="26"/>
        </w:rPr>
        <w:t xml:space="preserve"> (Alaska </w:t>
      </w:r>
      <w:r w:rsidRPr="00FE71A1">
        <w:rPr>
          <w:rFonts w:ascii="Bookman Old Style" w:hAnsi="Bookman Old Style" w:cs="Bookman Old Style"/>
          <w:snapToGrid w:val="0"/>
          <w:sz w:val="26"/>
          <w:szCs w:val="26"/>
        </w:rPr>
        <w:t xml:space="preserve">1986), the 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court shifted the </w:t>
      </w:r>
      <w:r w:rsidRPr="00FE71A1">
        <w:rPr>
          <w:rFonts w:ascii="Bookman Old Style" w:hAnsi="Bookman Old Style" w:cs="Bookman Old Style"/>
          <w:snapToGrid w:val="0"/>
          <w:sz w:val="26"/>
          <w:szCs w:val="26"/>
        </w:rPr>
        <w:t xml:space="preserve">burden of proof to </w:t>
      </w:r>
      <w:r w:rsidR="00C07F93">
        <w:rPr>
          <w:rFonts w:ascii="Bookman Old Style" w:hAnsi="Bookman Old Style" w:cs="Bookman Old Style"/>
          <w:snapToGrid w:val="0"/>
          <w:sz w:val="26"/>
          <w:szCs w:val="26"/>
        </w:rPr>
        <w:t>the plaintiff</w:t>
      </w:r>
      <w:r w:rsidR="00E3219D">
        <w:rPr>
          <w:rFonts w:ascii="Bookman Old Style" w:hAnsi="Bookman Old Style" w:cs="Bookman Old Style"/>
          <w:snapToGrid w:val="0"/>
          <w:sz w:val="26"/>
          <w:szCs w:val="26"/>
        </w:rPr>
        <w:t xml:space="preserve">. </w:t>
      </w:r>
      <w:r w:rsidR="007F0AD4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That remains the rule in Alaska. </w:t>
      </w:r>
      <w:r w:rsidR="007F0AD4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>
        <w:rPr>
          <w:rFonts w:ascii="Bookman Old Style" w:hAnsi="Bookman Old Style" w:cs="Bookman Old Style"/>
          <w:i/>
          <w:snapToGrid w:val="0"/>
          <w:sz w:val="26"/>
          <w:szCs w:val="26"/>
        </w:rPr>
        <w:t>E.g.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, </w:t>
      </w:r>
      <w:r>
        <w:rPr>
          <w:rFonts w:ascii="Bookman Old Style" w:hAnsi="Bookman Old Style"/>
          <w:i/>
          <w:color w:val="000000"/>
          <w:sz w:val="26"/>
          <w:szCs w:val="26"/>
        </w:rPr>
        <w:t>K &amp; K Recycling, Inc. v. Alaska Gold Co.</w:t>
      </w:r>
      <w:r>
        <w:rPr>
          <w:rFonts w:ascii="Bookman Old Style" w:hAnsi="Bookman Old Style"/>
          <w:color w:val="000000"/>
          <w:sz w:val="26"/>
          <w:szCs w:val="26"/>
        </w:rPr>
        <w:t>, 80 P.3d 702, 717 (Alaska 2003)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 (</w:t>
      </w:r>
      <w:r w:rsidR="00194AD1">
        <w:rPr>
          <w:rFonts w:ascii="Bookman Old Style" w:hAnsi="Bookman Old Style" w:cs="Bookman Old Style"/>
          <w:snapToGrid w:val="0"/>
          <w:sz w:val="26"/>
          <w:szCs w:val="26"/>
        </w:rPr>
        <w:t>contract</w:t>
      </w:r>
      <w:r>
        <w:rPr>
          <w:rFonts w:ascii="Bookman Old Style" w:hAnsi="Bookman Old Style" w:cs="Bookman Old Style"/>
          <w:snapToGrid w:val="0"/>
          <w:sz w:val="26"/>
          <w:szCs w:val="26"/>
        </w:rPr>
        <w:t>)</w:t>
      </w:r>
      <w:r w:rsidR="004D211C">
        <w:rPr>
          <w:rFonts w:ascii="Bookman Old Style" w:hAnsi="Bookman Old Style" w:cs="Bookman Old Style"/>
          <w:snapToGrid w:val="0"/>
          <w:sz w:val="26"/>
          <w:szCs w:val="26"/>
        </w:rPr>
        <w:t xml:space="preserve">; </w:t>
      </w:r>
      <w:r w:rsidR="00194AD1" w:rsidRPr="005755BB">
        <w:rPr>
          <w:rFonts w:ascii="Bookman Old Style" w:hAnsi="Bookman Old Style" w:cs="Bookman Old Style"/>
          <w:i/>
          <w:snapToGrid w:val="0"/>
          <w:sz w:val="26"/>
          <w:szCs w:val="26"/>
        </w:rPr>
        <w:t>J &amp; S Services, Inc. v. Tomter</w:t>
      </w:r>
      <w:r w:rsidR="00194AD1" w:rsidRPr="00194AD1">
        <w:rPr>
          <w:rFonts w:ascii="Bookman Old Style" w:hAnsi="Bookman Old Style" w:cs="Bookman Old Style"/>
          <w:snapToGrid w:val="0"/>
          <w:sz w:val="26"/>
          <w:szCs w:val="26"/>
        </w:rPr>
        <w:t>, 139 P.3d 544, 551 (Alaska 2006)</w:t>
      </w:r>
      <w:r w:rsidR="00C07F93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4D211C">
        <w:rPr>
          <w:rFonts w:ascii="Bookman Old Style" w:hAnsi="Bookman Old Style" w:cs="Bookman Old Style"/>
          <w:snapToGrid w:val="0"/>
          <w:sz w:val="26"/>
          <w:szCs w:val="26"/>
        </w:rPr>
        <w:t xml:space="preserve">(prospective </w:t>
      </w:r>
      <w:r w:rsidR="00C07F93">
        <w:rPr>
          <w:rFonts w:ascii="Bookman Old Style" w:hAnsi="Bookman Old Style" w:cs="Bookman Old Style"/>
          <w:snapToGrid w:val="0"/>
          <w:sz w:val="26"/>
          <w:szCs w:val="26"/>
        </w:rPr>
        <w:t xml:space="preserve">economic </w:t>
      </w:r>
      <w:r w:rsidR="004D211C">
        <w:rPr>
          <w:rFonts w:ascii="Bookman Old Style" w:hAnsi="Bookman Old Style" w:cs="Bookman Old Style"/>
          <w:snapToGrid w:val="0"/>
          <w:sz w:val="26"/>
          <w:szCs w:val="26"/>
        </w:rPr>
        <w:t>relationship)</w:t>
      </w:r>
      <w:r>
        <w:rPr>
          <w:rFonts w:ascii="Bookman Old Style" w:hAnsi="Bookman Old Style" w:cs="Bookman Old Style"/>
          <w:snapToGrid w:val="0"/>
          <w:sz w:val="26"/>
          <w:szCs w:val="26"/>
        </w:rPr>
        <w:t>.</w:t>
      </w:r>
    </w:p>
    <w:p w:rsidR="00A929FB" w:rsidRDefault="00A929FB" w:rsidP="005755BB">
      <w:pPr>
        <w:widowControl w:val="0"/>
        <w:adjustRightInd w:val="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sectPr w:rsidR="00A929FB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30" w:rsidRDefault="00F20E30">
      <w:r>
        <w:separator/>
      </w:r>
    </w:p>
  </w:endnote>
  <w:endnote w:type="continuationSeparator" w:id="0">
    <w:p w:rsidR="00F20E30" w:rsidRDefault="00F2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4F8" w:rsidRPr="004A1E6B" w:rsidRDefault="001564F8">
    <w:pPr>
      <w:pStyle w:val="Footer"/>
      <w:tabs>
        <w:tab w:val="clear" w:pos="8640"/>
        <w:tab w:val="right" w:pos="9180"/>
      </w:tabs>
      <w:rPr>
        <w:rFonts w:ascii="Bookman Old Style" w:hAnsi="Bookman Old Style" w:cs="Bookman Old Style"/>
        <w:sz w:val="26"/>
        <w:szCs w:val="26"/>
      </w:rPr>
    </w:pPr>
    <w:r w:rsidRPr="004A1E6B">
      <w:rPr>
        <w:rFonts w:ascii="Bookman Old Style" w:hAnsi="Bookman Old Style" w:cs="Bookman Old Style"/>
        <w:sz w:val="26"/>
        <w:szCs w:val="26"/>
      </w:rPr>
      <w:t>Revised 2012</w:t>
    </w:r>
    <w:r w:rsidRPr="004A1E6B">
      <w:rPr>
        <w:rFonts w:ascii="Bookman Old Style" w:hAnsi="Bookman Old Style" w:cs="Bookman Old Style"/>
        <w:sz w:val="26"/>
        <w:szCs w:val="26"/>
      </w:rPr>
      <w:tab/>
    </w:r>
    <w:r w:rsidRPr="004A1E6B">
      <w:rPr>
        <w:rFonts w:ascii="Bookman Old Style" w:hAnsi="Bookman Old Style" w:cs="Bookman Old Style"/>
        <w:sz w:val="26"/>
        <w:szCs w:val="26"/>
      </w:rPr>
      <w:tab/>
      <w:t xml:space="preserve">19.03 – </w:t>
    </w:r>
    <w:r w:rsidRPr="004A1E6B">
      <w:rPr>
        <w:rStyle w:val="PageNumber"/>
        <w:rFonts w:ascii="Bookman Old Style" w:hAnsi="Bookman Old Style" w:cs="Bookman Old Style"/>
        <w:sz w:val="26"/>
        <w:szCs w:val="26"/>
      </w:rPr>
      <w:fldChar w:fldCharType="begin"/>
    </w:r>
    <w:r w:rsidRPr="004A1E6B">
      <w:rPr>
        <w:rStyle w:val="PageNumber"/>
        <w:rFonts w:ascii="Bookman Old Style" w:hAnsi="Bookman Old Style" w:cs="Bookman Old Style"/>
        <w:sz w:val="26"/>
        <w:szCs w:val="26"/>
      </w:rPr>
      <w:instrText xml:space="preserve"> PAGE </w:instrText>
    </w:r>
    <w:r w:rsidRPr="004A1E6B">
      <w:rPr>
        <w:rStyle w:val="PageNumber"/>
        <w:rFonts w:ascii="Bookman Old Style" w:hAnsi="Bookman Old Style" w:cs="Bookman Old Style"/>
        <w:sz w:val="26"/>
        <w:szCs w:val="26"/>
      </w:rPr>
      <w:fldChar w:fldCharType="separate"/>
    </w:r>
    <w:r w:rsidR="009614A8">
      <w:rPr>
        <w:rStyle w:val="PageNumber"/>
        <w:rFonts w:ascii="Bookman Old Style" w:hAnsi="Bookman Old Style" w:cs="Bookman Old Style"/>
        <w:noProof/>
        <w:sz w:val="26"/>
        <w:szCs w:val="26"/>
      </w:rPr>
      <w:t>1</w:t>
    </w:r>
    <w:r w:rsidRPr="004A1E6B">
      <w:rPr>
        <w:rStyle w:val="PageNumber"/>
        <w:rFonts w:ascii="Bookman Old Style" w:hAnsi="Bookman Old Style" w:cs="Bookman Old Style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30" w:rsidRDefault="00F20E30">
      <w:r>
        <w:separator/>
      </w:r>
    </w:p>
  </w:footnote>
  <w:footnote w:type="continuationSeparator" w:id="0">
    <w:p w:rsidR="00F20E30" w:rsidRDefault="00F20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184"/>
    <w:multiLevelType w:val="hybridMultilevel"/>
    <w:tmpl w:val="04AA51B2"/>
    <w:lvl w:ilvl="0" w:tplc="27C4EE8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2B725A"/>
    <w:multiLevelType w:val="hybridMultilevel"/>
    <w:tmpl w:val="EF52E6FC"/>
    <w:lvl w:ilvl="0" w:tplc="DB3668A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5506E2"/>
    <w:multiLevelType w:val="hybridMultilevel"/>
    <w:tmpl w:val="FDDEBE0A"/>
    <w:lvl w:ilvl="0" w:tplc="F9DAB04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031F8F"/>
    <w:multiLevelType w:val="hybridMultilevel"/>
    <w:tmpl w:val="7920596C"/>
    <w:lvl w:ilvl="0" w:tplc="2F16D6C8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>
    <w:nsid w:val="7A777D2C"/>
    <w:multiLevelType w:val="hybridMultilevel"/>
    <w:tmpl w:val="E30A70F2"/>
    <w:lvl w:ilvl="0" w:tplc="90B4C87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42"/>
    <w:rsid w:val="00002B5F"/>
    <w:rsid w:val="00002C6F"/>
    <w:rsid w:val="00013981"/>
    <w:rsid w:val="00035A12"/>
    <w:rsid w:val="00044306"/>
    <w:rsid w:val="00055EB8"/>
    <w:rsid w:val="00056B8F"/>
    <w:rsid w:val="00062653"/>
    <w:rsid w:val="00062A87"/>
    <w:rsid w:val="00090F05"/>
    <w:rsid w:val="00090F77"/>
    <w:rsid w:val="000959E1"/>
    <w:rsid w:val="000A0A49"/>
    <w:rsid w:val="000A60C1"/>
    <w:rsid w:val="000B0C02"/>
    <w:rsid w:val="000B37C7"/>
    <w:rsid w:val="000B734E"/>
    <w:rsid w:val="000D07DD"/>
    <w:rsid w:val="000D3B6E"/>
    <w:rsid w:val="000E78D3"/>
    <w:rsid w:val="000F3F4A"/>
    <w:rsid w:val="000F4ED1"/>
    <w:rsid w:val="00106F44"/>
    <w:rsid w:val="00120EA9"/>
    <w:rsid w:val="00124077"/>
    <w:rsid w:val="00142524"/>
    <w:rsid w:val="00146367"/>
    <w:rsid w:val="001564F8"/>
    <w:rsid w:val="0016101B"/>
    <w:rsid w:val="001674AD"/>
    <w:rsid w:val="0017778D"/>
    <w:rsid w:val="00181037"/>
    <w:rsid w:val="00194AD1"/>
    <w:rsid w:val="001A02DD"/>
    <w:rsid w:val="001A0FD4"/>
    <w:rsid w:val="001A78A6"/>
    <w:rsid w:val="001B127D"/>
    <w:rsid w:val="001C4008"/>
    <w:rsid w:val="001E39BF"/>
    <w:rsid w:val="001F0574"/>
    <w:rsid w:val="001F4383"/>
    <w:rsid w:val="001F4571"/>
    <w:rsid w:val="001F4C40"/>
    <w:rsid w:val="0021058C"/>
    <w:rsid w:val="0021307E"/>
    <w:rsid w:val="0022414F"/>
    <w:rsid w:val="00225C6F"/>
    <w:rsid w:val="0024453C"/>
    <w:rsid w:val="00250FB1"/>
    <w:rsid w:val="002564F4"/>
    <w:rsid w:val="00276576"/>
    <w:rsid w:val="00283F38"/>
    <w:rsid w:val="00294C88"/>
    <w:rsid w:val="002A7F70"/>
    <w:rsid w:val="002C3265"/>
    <w:rsid w:val="002E3024"/>
    <w:rsid w:val="002F4C7D"/>
    <w:rsid w:val="003145A7"/>
    <w:rsid w:val="00320673"/>
    <w:rsid w:val="00327D0D"/>
    <w:rsid w:val="003312CA"/>
    <w:rsid w:val="003333CE"/>
    <w:rsid w:val="003370DF"/>
    <w:rsid w:val="00345A36"/>
    <w:rsid w:val="00356B23"/>
    <w:rsid w:val="00356DBA"/>
    <w:rsid w:val="00373502"/>
    <w:rsid w:val="00380F32"/>
    <w:rsid w:val="0038719F"/>
    <w:rsid w:val="003B499E"/>
    <w:rsid w:val="003D02D3"/>
    <w:rsid w:val="003D631B"/>
    <w:rsid w:val="003E1973"/>
    <w:rsid w:val="00401CA9"/>
    <w:rsid w:val="004048F0"/>
    <w:rsid w:val="00430F2F"/>
    <w:rsid w:val="0043472F"/>
    <w:rsid w:val="00444145"/>
    <w:rsid w:val="004551FA"/>
    <w:rsid w:val="004771A2"/>
    <w:rsid w:val="00481D1A"/>
    <w:rsid w:val="00482DAE"/>
    <w:rsid w:val="00490E2D"/>
    <w:rsid w:val="004A1E6B"/>
    <w:rsid w:val="004D211C"/>
    <w:rsid w:val="004E243D"/>
    <w:rsid w:val="004F0281"/>
    <w:rsid w:val="005011EF"/>
    <w:rsid w:val="0050303D"/>
    <w:rsid w:val="00503FD0"/>
    <w:rsid w:val="00507650"/>
    <w:rsid w:val="00532AD7"/>
    <w:rsid w:val="00535169"/>
    <w:rsid w:val="005424E6"/>
    <w:rsid w:val="005478B0"/>
    <w:rsid w:val="005501A5"/>
    <w:rsid w:val="005502F1"/>
    <w:rsid w:val="005529CD"/>
    <w:rsid w:val="0055758F"/>
    <w:rsid w:val="00562694"/>
    <w:rsid w:val="005755BB"/>
    <w:rsid w:val="00582059"/>
    <w:rsid w:val="00585FE5"/>
    <w:rsid w:val="005907CC"/>
    <w:rsid w:val="005A1BC3"/>
    <w:rsid w:val="005B5BF0"/>
    <w:rsid w:val="005C191D"/>
    <w:rsid w:val="005C2CA5"/>
    <w:rsid w:val="005F3EE9"/>
    <w:rsid w:val="005F44F3"/>
    <w:rsid w:val="005F4A4C"/>
    <w:rsid w:val="0060260A"/>
    <w:rsid w:val="00611F10"/>
    <w:rsid w:val="0061238C"/>
    <w:rsid w:val="00625B28"/>
    <w:rsid w:val="00627B62"/>
    <w:rsid w:val="0063342E"/>
    <w:rsid w:val="00656FD1"/>
    <w:rsid w:val="006634F6"/>
    <w:rsid w:val="00663A33"/>
    <w:rsid w:val="00665439"/>
    <w:rsid w:val="0066596E"/>
    <w:rsid w:val="00667EA7"/>
    <w:rsid w:val="0067010D"/>
    <w:rsid w:val="00671B05"/>
    <w:rsid w:val="0067767C"/>
    <w:rsid w:val="0068064D"/>
    <w:rsid w:val="006B59FB"/>
    <w:rsid w:val="006C628C"/>
    <w:rsid w:val="006D3CF9"/>
    <w:rsid w:val="006E1E2E"/>
    <w:rsid w:val="006E307E"/>
    <w:rsid w:val="006F2084"/>
    <w:rsid w:val="00701532"/>
    <w:rsid w:val="00703332"/>
    <w:rsid w:val="007302EB"/>
    <w:rsid w:val="00732F99"/>
    <w:rsid w:val="00734A11"/>
    <w:rsid w:val="007500DF"/>
    <w:rsid w:val="00755FDE"/>
    <w:rsid w:val="00762056"/>
    <w:rsid w:val="00762F07"/>
    <w:rsid w:val="00775C0A"/>
    <w:rsid w:val="00777704"/>
    <w:rsid w:val="007842D8"/>
    <w:rsid w:val="0079522F"/>
    <w:rsid w:val="007A0137"/>
    <w:rsid w:val="007B3862"/>
    <w:rsid w:val="007D3E09"/>
    <w:rsid w:val="007E5984"/>
    <w:rsid w:val="007F0AD4"/>
    <w:rsid w:val="0080663E"/>
    <w:rsid w:val="0082292D"/>
    <w:rsid w:val="00824B0B"/>
    <w:rsid w:val="00825701"/>
    <w:rsid w:val="00826678"/>
    <w:rsid w:val="00830DC0"/>
    <w:rsid w:val="00840D23"/>
    <w:rsid w:val="00863A39"/>
    <w:rsid w:val="00871B0C"/>
    <w:rsid w:val="00874C1D"/>
    <w:rsid w:val="00877DB7"/>
    <w:rsid w:val="00883A3F"/>
    <w:rsid w:val="00884684"/>
    <w:rsid w:val="0089091D"/>
    <w:rsid w:val="008A4377"/>
    <w:rsid w:val="008A448E"/>
    <w:rsid w:val="008C2565"/>
    <w:rsid w:val="008D1246"/>
    <w:rsid w:val="008D6390"/>
    <w:rsid w:val="008F7516"/>
    <w:rsid w:val="00902152"/>
    <w:rsid w:val="00902DD3"/>
    <w:rsid w:val="00905206"/>
    <w:rsid w:val="009078C8"/>
    <w:rsid w:val="00934013"/>
    <w:rsid w:val="00936FDF"/>
    <w:rsid w:val="009558ED"/>
    <w:rsid w:val="00956795"/>
    <w:rsid w:val="009614A8"/>
    <w:rsid w:val="00962096"/>
    <w:rsid w:val="00963B16"/>
    <w:rsid w:val="009856C3"/>
    <w:rsid w:val="00990DAB"/>
    <w:rsid w:val="009913E6"/>
    <w:rsid w:val="009932B2"/>
    <w:rsid w:val="009954AB"/>
    <w:rsid w:val="00997080"/>
    <w:rsid w:val="009C0D67"/>
    <w:rsid w:val="009C2441"/>
    <w:rsid w:val="009D1B6D"/>
    <w:rsid w:val="00A00ABB"/>
    <w:rsid w:val="00A044E5"/>
    <w:rsid w:val="00A20D6A"/>
    <w:rsid w:val="00A30F8C"/>
    <w:rsid w:val="00A41D63"/>
    <w:rsid w:val="00A60CE2"/>
    <w:rsid w:val="00A8567B"/>
    <w:rsid w:val="00A92091"/>
    <w:rsid w:val="00A924D5"/>
    <w:rsid w:val="00A929FB"/>
    <w:rsid w:val="00AA3BBA"/>
    <w:rsid w:val="00AB239D"/>
    <w:rsid w:val="00AE7185"/>
    <w:rsid w:val="00B02465"/>
    <w:rsid w:val="00B10115"/>
    <w:rsid w:val="00B157D0"/>
    <w:rsid w:val="00B5114B"/>
    <w:rsid w:val="00B65FFF"/>
    <w:rsid w:val="00B87CC8"/>
    <w:rsid w:val="00B95960"/>
    <w:rsid w:val="00B95A52"/>
    <w:rsid w:val="00BA6C1E"/>
    <w:rsid w:val="00BA6E1A"/>
    <w:rsid w:val="00BB1542"/>
    <w:rsid w:val="00BB30CE"/>
    <w:rsid w:val="00BB6728"/>
    <w:rsid w:val="00BD434C"/>
    <w:rsid w:val="00BE39E8"/>
    <w:rsid w:val="00BF351E"/>
    <w:rsid w:val="00BF47A5"/>
    <w:rsid w:val="00BF68E2"/>
    <w:rsid w:val="00BF7A70"/>
    <w:rsid w:val="00C07F93"/>
    <w:rsid w:val="00C105CD"/>
    <w:rsid w:val="00C37026"/>
    <w:rsid w:val="00C537EE"/>
    <w:rsid w:val="00C661FD"/>
    <w:rsid w:val="00C75848"/>
    <w:rsid w:val="00CA30DD"/>
    <w:rsid w:val="00CC2ED2"/>
    <w:rsid w:val="00CD34EF"/>
    <w:rsid w:val="00CE7BE0"/>
    <w:rsid w:val="00D05341"/>
    <w:rsid w:val="00D0550F"/>
    <w:rsid w:val="00D2283C"/>
    <w:rsid w:val="00D23796"/>
    <w:rsid w:val="00D32231"/>
    <w:rsid w:val="00D51ECA"/>
    <w:rsid w:val="00D52111"/>
    <w:rsid w:val="00D617A3"/>
    <w:rsid w:val="00D674FD"/>
    <w:rsid w:val="00DA1FBC"/>
    <w:rsid w:val="00DA5DE8"/>
    <w:rsid w:val="00DE1E88"/>
    <w:rsid w:val="00DF045E"/>
    <w:rsid w:val="00DF32B5"/>
    <w:rsid w:val="00E07297"/>
    <w:rsid w:val="00E3219D"/>
    <w:rsid w:val="00E33814"/>
    <w:rsid w:val="00E3790D"/>
    <w:rsid w:val="00E45DE8"/>
    <w:rsid w:val="00E5177B"/>
    <w:rsid w:val="00E56FC0"/>
    <w:rsid w:val="00E81D47"/>
    <w:rsid w:val="00E851C4"/>
    <w:rsid w:val="00E91FB8"/>
    <w:rsid w:val="00EA089F"/>
    <w:rsid w:val="00EC75DE"/>
    <w:rsid w:val="00ED780E"/>
    <w:rsid w:val="00EF74E3"/>
    <w:rsid w:val="00F1096C"/>
    <w:rsid w:val="00F1252D"/>
    <w:rsid w:val="00F13499"/>
    <w:rsid w:val="00F20E30"/>
    <w:rsid w:val="00F436ED"/>
    <w:rsid w:val="00F45083"/>
    <w:rsid w:val="00F62DF7"/>
    <w:rsid w:val="00F74B70"/>
    <w:rsid w:val="00FC2B69"/>
    <w:rsid w:val="00FC74BD"/>
    <w:rsid w:val="00FE71A1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right" w:pos="1088"/>
      </w:tabs>
      <w:jc w:val="center"/>
      <w:outlineLvl w:val="0"/>
    </w:pPr>
    <w:rPr>
      <w:rFonts w:ascii="Bookman Old Style" w:hAnsi="Bookman Old Style" w:cs="Bookman Old Style"/>
      <w:sz w:val="26"/>
      <w:szCs w:val="26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480" w:lineRule="atLeast"/>
      <w:jc w:val="center"/>
    </w:pPr>
    <w:rPr>
      <w:rFonts w:ascii="Courier" w:hAnsi="Courier" w:cs="Courier"/>
      <w:sz w:val="24"/>
      <w:szCs w:val="24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ind w:left="1440" w:hanging="1440"/>
    </w:pPr>
    <w:rPr>
      <w:rFonts w:ascii="Bookman Old Style" w:hAnsi="Bookman Old Style" w:cs="Bookman Old Style"/>
      <w:b/>
      <w:bCs/>
      <w:sz w:val="26"/>
      <w:szCs w:val="26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360" w:lineRule="auto"/>
      <w:ind w:left="720" w:hanging="720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55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5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right" w:pos="1088"/>
      </w:tabs>
      <w:jc w:val="center"/>
      <w:outlineLvl w:val="0"/>
    </w:pPr>
    <w:rPr>
      <w:rFonts w:ascii="Bookman Old Style" w:hAnsi="Bookman Old Style" w:cs="Bookman Old Style"/>
      <w:sz w:val="26"/>
      <w:szCs w:val="26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480" w:lineRule="atLeast"/>
      <w:jc w:val="center"/>
    </w:pPr>
    <w:rPr>
      <w:rFonts w:ascii="Courier" w:hAnsi="Courier" w:cs="Courier"/>
      <w:sz w:val="24"/>
      <w:szCs w:val="24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ind w:left="1440" w:hanging="1440"/>
    </w:pPr>
    <w:rPr>
      <w:rFonts w:ascii="Bookman Old Style" w:hAnsi="Bookman Old Style" w:cs="Bookman Old Style"/>
      <w:b/>
      <w:bCs/>
      <w:sz w:val="26"/>
      <w:szCs w:val="26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360" w:lineRule="auto"/>
      <w:ind w:left="720" w:hanging="720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55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5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86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</vt:lpstr>
    </vt:vector>
  </TitlesOfParts>
  <Company>Alaska Court System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subject/>
  <dc:creator>korzechowski</dc:creator>
  <cp:keywords/>
  <dc:description/>
  <cp:lastModifiedBy>Michael Merrington</cp:lastModifiedBy>
  <cp:revision>3</cp:revision>
  <cp:lastPrinted>2012-02-17T17:20:00Z</cp:lastPrinted>
  <dcterms:created xsi:type="dcterms:W3CDTF">2017-04-04T18:50:00Z</dcterms:created>
  <dcterms:modified xsi:type="dcterms:W3CDTF">2017-04-04T18:50:00Z</dcterms:modified>
</cp:coreProperties>
</file>