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78" w:rsidRPr="00836EE9" w:rsidRDefault="00936CE4">
      <w:pPr>
        <w:pStyle w:val="BodyTextIndent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>20.01B</w:t>
      </w:r>
      <w:r w:rsidRPr="00836EE9">
        <w:rPr>
          <w:rFonts w:ascii="Times New Roman" w:hAnsi="Times New Roman"/>
          <w:sz w:val="28"/>
          <w:szCs w:val="28"/>
        </w:rPr>
        <w:tab/>
        <w:t>DAMAGES — INTRODUCTORY INSTRUCTION: LIABILITY ADMITTED</w:t>
      </w:r>
    </w:p>
    <w:p w:rsidR="00836EE9" w:rsidRPr="00836EE9" w:rsidRDefault="00936CE4" w:rsidP="00836EE9">
      <w:pPr>
        <w:pStyle w:val="BodyText"/>
        <w:tabs>
          <w:tab w:val="left" w:pos="419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ab/>
      </w:r>
      <w:r w:rsidR="00836EE9" w:rsidRPr="00836EE9">
        <w:rPr>
          <w:rFonts w:ascii="Times New Roman" w:hAnsi="Times New Roman"/>
          <w:sz w:val="28"/>
          <w:szCs w:val="28"/>
        </w:rPr>
        <w:tab/>
      </w:r>
    </w:p>
    <w:p w:rsidR="00D03A78" w:rsidRPr="00836EE9" w:rsidRDefault="00936CE4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 xml:space="preserve">The defendant has admitted that (he) (she) (it) is legally responsible for the plaintiff's (injury) (damage) (loss).  You must decide how much money, if any, will fairly compensate the plaintiff.  I will list for you the items of loss claimed by the plaintiff.  You may not assume because I list an item of loss or explain how to measure a particular loss that you are required to make an award for that loss.  </w:t>
      </w:r>
      <w:r w:rsidR="00585485" w:rsidRPr="00836EE9">
        <w:rPr>
          <w:rFonts w:ascii="Times New Roman" w:hAnsi="Times New Roman"/>
          <w:sz w:val="28"/>
          <w:szCs w:val="28"/>
        </w:rPr>
        <w:t xml:space="preserve">To make an award for a loss claimed by the plaintiff, </w:t>
      </w:r>
      <w:r w:rsidRPr="00836EE9">
        <w:rPr>
          <w:rFonts w:ascii="Times New Roman" w:hAnsi="Times New Roman"/>
          <w:sz w:val="28"/>
          <w:szCs w:val="28"/>
        </w:rPr>
        <w:t>you must decide that it is more likely true than not true that:</w:t>
      </w:r>
    </w:p>
    <w:p w:rsidR="00836EE9" w:rsidRDefault="00836EE9">
      <w:pPr>
        <w:widowControl/>
        <w:tabs>
          <w:tab w:val="left" w:pos="-720"/>
          <w:tab w:val="left" w:pos="720"/>
        </w:tabs>
        <w:suppressAutoHyphens/>
        <w:spacing w:line="360" w:lineRule="auto"/>
        <w:ind w:left="720" w:hanging="720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720"/>
        </w:tabs>
        <w:suppressAutoHyphens/>
        <w:spacing w:line="360" w:lineRule="auto"/>
        <w:ind w:left="720" w:hanging="720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1.</w:t>
      </w:r>
      <w:r w:rsidRPr="00836EE9">
        <w:rPr>
          <w:rFonts w:ascii="Times New Roman" w:hAnsi="Times New Roman"/>
          <w:spacing w:val="-3"/>
          <w:sz w:val="28"/>
          <w:szCs w:val="28"/>
        </w:rPr>
        <w:tab/>
        <w:t>the plaintiff had such an item of loss or is reasonably probable to have such a loss in the future, and</w:t>
      </w:r>
    </w:p>
    <w:p w:rsidR="00D03A78" w:rsidRPr="00836EE9" w:rsidRDefault="00D03A78">
      <w:pPr>
        <w:widowControl/>
        <w:tabs>
          <w:tab w:val="left" w:pos="-720"/>
          <w:tab w:val="left" w:pos="720"/>
        </w:tabs>
        <w:suppressAutoHyphens/>
        <w:spacing w:line="360" w:lineRule="auto"/>
        <w:ind w:left="720" w:hanging="720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720"/>
        </w:tabs>
        <w:suppressAutoHyphens/>
        <w:spacing w:line="360" w:lineRule="auto"/>
        <w:ind w:left="720" w:hanging="720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2.</w:t>
      </w:r>
      <w:r w:rsidRPr="00836EE9">
        <w:rPr>
          <w:rFonts w:ascii="Times New Roman" w:hAnsi="Times New Roman"/>
          <w:spacing w:val="-3"/>
          <w:sz w:val="28"/>
          <w:szCs w:val="28"/>
        </w:rPr>
        <w:tab/>
      </w:r>
      <w:r w:rsidR="00363C8D" w:rsidRPr="00836EE9">
        <w:rPr>
          <w:rFonts w:ascii="Times New Roman" w:hAnsi="Times New Roman"/>
          <w:spacing w:val="-3"/>
          <w:sz w:val="28"/>
          <w:szCs w:val="28"/>
        </w:rPr>
        <w:t xml:space="preserve">the defendant’s conduct was a substantial factor in causing </w:t>
      </w:r>
      <w:r w:rsidRPr="00836EE9">
        <w:rPr>
          <w:rFonts w:ascii="Times New Roman" w:hAnsi="Times New Roman"/>
          <w:spacing w:val="-3"/>
          <w:sz w:val="28"/>
          <w:szCs w:val="28"/>
        </w:rPr>
        <w:t>the loss</w:t>
      </w:r>
      <w:r w:rsidR="00363C8D" w:rsidRPr="00836EE9">
        <w:rPr>
          <w:rFonts w:ascii="Times New Roman" w:hAnsi="Times New Roman"/>
          <w:spacing w:val="-3"/>
          <w:sz w:val="28"/>
          <w:szCs w:val="28"/>
        </w:rPr>
        <w:t>.</w:t>
      </w:r>
      <w:r w:rsidRPr="00836EE9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D03A78" w:rsidRPr="00836EE9" w:rsidRDefault="00936CE4">
      <w:pPr>
        <w:pStyle w:val="BodyText"/>
        <w:tabs>
          <w:tab w:val="clear" w:pos="1440"/>
          <w:tab w:val="left" w:pos="720"/>
        </w:tabs>
        <w:spacing w:line="360" w:lineRule="auto"/>
        <w:ind w:left="720" w:hanging="720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ab/>
        <w:t>(Insert Instruction 3.0</w:t>
      </w:r>
      <w:r w:rsidR="00363C8D" w:rsidRPr="00836EE9">
        <w:rPr>
          <w:rFonts w:ascii="Times New Roman" w:hAnsi="Times New Roman"/>
          <w:sz w:val="28"/>
          <w:szCs w:val="28"/>
        </w:rPr>
        <w:t>7</w:t>
      </w:r>
      <w:r w:rsidRPr="00836EE9">
        <w:rPr>
          <w:rFonts w:ascii="Times New Roman" w:hAnsi="Times New Roman"/>
          <w:sz w:val="28"/>
          <w:szCs w:val="28"/>
        </w:rPr>
        <w:t xml:space="preserve"> (</w:t>
      </w:r>
      <w:r w:rsidR="00363C8D" w:rsidRPr="00836EE9">
        <w:rPr>
          <w:rFonts w:ascii="Times New Roman" w:hAnsi="Times New Roman"/>
          <w:sz w:val="28"/>
          <w:szCs w:val="28"/>
        </w:rPr>
        <w:t>Substantial Factor)</w:t>
      </w:r>
      <w:r w:rsidRPr="00836EE9">
        <w:rPr>
          <w:rFonts w:ascii="Times New Roman" w:hAnsi="Times New Roman"/>
          <w:sz w:val="28"/>
          <w:szCs w:val="28"/>
        </w:rPr>
        <w:t xml:space="preserve"> if not already given as part of the liability instructions.)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22229" w:rsidRPr="00836EE9" w:rsidRDefault="00936CE4" w:rsidP="00D22229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If both of these things are more likely true than not true</w:t>
      </w:r>
      <w:r w:rsidR="00D22229" w:rsidRPr="00836EE9">
        <w:rPr>
          <w:rFonts w:ascii="Times New Roman" w:hAnsi="Times New Roman"/>
          <w:spacing w:val="-3"/>
          <w:sz w:val="28"/>
          <w:szCs w:val="28"/>
        </w:rPr>
        <w:t xml:space="preserve"> for a claimed loss</w:t>
      </w:r>
      <w:r w:rsidRPr="00836EE9">
        <w:rPr>
          <w:rFonts w:ascii="Times New Roman" w:hAnsi="Times New Roman"/>
          <w:spacing w:val="-3"/>
          <w:sz w:val="28"/>
          <w:szCs w:val="28"/>
        </w:rPr>
        <w:t>, you must then decide how much mon</w:t>
      </w:r>
      <w:bookmarkStart w:id="0" w:name="_GoBack"/>
      <w:bookmarkEnd w:id="0"/>
      <w:r w:rsidRPr="00836EE9">
        <w:rPr>
          <w:rFonts w:ascii="Times New Roman" w:hAnsi="Times New Roman"/>
          <w:spacing w:val="-3"/>
          <w:sz w:val="28"/>
          <w:szCs w:val="28"/>
        </w:rPr>
        <w:t xml:space="preserve">ey will fairly compensate the plaintiff </w:t>
      </w:r>
      <w:r w:rsidR="00D22229" w:rsidRPr="00836EE9">
        <w:rPr>
          <w:rFonts w:ascii="Times New Roman" w:hAnsi="Times New Roman"/>
          <w:spacing w:val="-3"/>
          <w:sz w:val="28"/>
          <w:szCs w:val="28"/>
        </w:rPr>
        <w:t xml:space="preserve">for </w:t>
      </w:r>
      <w:r w:rsidRPr="00836EE9">
        <w:rPr>
          <w:rFonts w:ascii="Times New Roman" w:hAnsi="Times New Roman"/>
          <w:spacing w:val="-3"/>
          <w:sz w:val="28"/>
          <w:szCs w:val="28"/>
        </w:rPr>
        <w:t>that loss</w:t>
      </w:r>
      <w:r w:rsidR="00787BF1" w:rsidRPr="00836EE9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B72349" w:rsidRPr="00836EE9">
        <w:rPr>
          <w:rFonts w:ascii="Times New Roman" w:hAnsi="Times New Roman"/>
          <w:spacing w:val="-3"/>
          <w:sz w:val="28"/>
          <w:szCs w:val="28"/>
        </w:rPr>
        <w:t>Your award must be based upon evidence and not upon speculation, guesswork, or conjecture.</w:t>
      </w:r>
    </w:p>
    <w:p w:rsidR="00787BF1" w:rsidRPr="00836EE9" w:rsidRDefault="00787BF1" w:rsidP="00D22229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 xml:space="preserve">If you do not conclude that both of these things are more likely true than not true for a </w:t>
      </w:r>
      <w:r w:rsidR="00D22229" w:rsidRPr="00836EE9">
        <w:rPr>
          <w:rFonts w:ascii="Times New Roman" w:hAnsi="Times New Roman"/>
          <w:spacing w:val="-3"/>
          <w:sz w:val="28"/>
          <w:szCs w:val="28"/>
        </w:rPr>
        <w:t>claimed</w:t>
      </w:r>
      <w:r w:rsidRPr="00836EE9">
        <w:rPr>
          <w:rFonts w:ascii="Times New Roman" w:hAnsi="Times New Roman"/>
          <w:spacing w:val="-3"/>
          <w:sz w:val="28"/>
          <w:szCs w:val="28"/>
        </w:rPr>
        <w:t xml:space="preserve"> loss, you may not make an award for that loss.  </w:t>
      </w:r>
    </w:p>
    <w:p w:rsidR="00294DD7" w:rsidRPr="00836EE9" w:rsidRDefault="00294DD7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836EE9">
        <w:rPr>
          <w:rFonts w:ascii="Times New Roman" w:hAnsi="Times New Roman"/>
          <w:b/>
          <w:spacing w:val="-3"/>
          <w:sz w:val="28"/>
          <w:szCs w:val="28"/>
        </w:rPr>
        <w:t>[Option A (to be used in non-personal injury cases):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The items of loss claimed by the plaintiff are the following: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1.</w:t>
      </w:r>
      <w:r w:rsidRPr="00836EE9">
        <w:rPr>
          <w:rFonts w:ascii="Times New Roman" w:hAnsi="Times New Roman"/>
          <w:spacing w:val="-3"/>
          <w:sz w:val="28"/>
          <w:szCs w:val="28"/>
        </w:rPr>
        <w:tab/>
      </w: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2</w:t>
      </w:r>
      <w:proofErr w:type="gramStart"/>
      <w:r w:rsidRPr="00836EE9">
        <w:rPr>
          <w:rFonts w:ascii="Times New Roman" w:hAnsi="Times New Roman"/>
          <w:spacing w:val="-3"/>
          <w:sz w:val="28"/>
          <w:szCs w:val="28"/>
        </w:rPr>
        <w:t>. . . .</w:t>
      </w:r>
      <w:proofErr w:type="gramEnd"/>
      <w:r w:rsidRPr="00836EE9">
        <w:rPr>
          <w:rFonts w:ascii="Times New Roman" w:hAnsi="Times New Roman"/>
          <w:spacing w:val="-3"/>
          <w:sz w:val="28"/>
          <w:szCs w:val="28"/>
        </w:rPr>
        <w:t>]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836EE9">
        <w:rPr>
          <w:rFonts w:ascii="Times New Roman" w:hAnsi="Times New Roman"/>
          <w:b/>
          <w:spacing w:val="-3"/>
          <w:sz w:val="28"/>
          <w:szCs w:val="28"/>
        </w:rPr>
        <w:t>[Option B (to be used in all personal injury cases):</w:t>
      </w:r>
    </w:p>
    <w:p w:rsidR="00D03A78" w:rsidRPr="00836EE9" w:rsidRDefault="00D03A78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</w:p>
    <w:p w:rsidR="00D03A78" w:rsidRPr="00836EE9" w:rsidRDefault="00936CE4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>The items of loss claimed by the plaintiff [fall into two categories known as economic losses and non-economic losses] [are known as economic losses] [are known as non-economic losses].</w:t>
      </w:r>
    </w:p>
    <w:p w:rsidR="00D03A78" w:rsidRPr="00836EE9" w:rsidRDefault="00D03A78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</w:p>
    <w:p w:rsidR="00D03A78" w:rsidRPr="00836EE9" w:rsidRDefault="00936CE4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>[The items of economic loss claimed by the plaintiff are: (list items of economic loss claimed).]</w:t>
      </w:r>
    </w:p>
    <w:p w:rsidR="00585485" w:rsidRPr="00836EE9" w:rsidRDefault="00585485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</w:p>
    <w:p w:rsidR="00585485" w:rsidRPr="00836EE9" w:rsidRDefault="00585485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>The items of non-economic loss claimed by the plaintiff are:  (list items of non-economic loss claimed)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I will now explain how to measure each of these claimed items of loss.</w:t>
      </w:r>
    </w:p>
    <w:p w:rsidR="00D03A78" w:rsidRPr="00836EE9" w:rsidRDefault="00D03A78">
      <w:pPr>
        <w:pStyle w:val="Heading1"/>
        <w:rPr>
          <w:rFonts w:ascii="Times New Roman" w:hAnsi="Times New Roman"/>
          <w:sz w:val="28"/>
          <w:szCs w:val="28"/>
        </w:rPr>
      </w:pPr>
    </w:p>
    <w:p w:rsidR="00D03A78" w:rsidRPr="00836EE9" w:rsidRDefault="00936CE4">
      <w:pPr>
        <w:pStyle w:val="Heading1"/>
        <w:rPr>
          <w:rFonts w:ascii="Times New Roman" w:hAnsi="Times New Roman"/>
          <w:b/>
          <w:sz w:val="28"/>
          <w:szCs w:val="28"/>
        </w:rPr>
      </w:pPr>
      <w:r w:rsidRPr="00836EE9">
        <w:rPr>
          <w:rFonts w:ascii="Times New Roman" w:hAnsi="Times New Roman"/>
          <w:b/>
          <w:sz w:val="28"/>
          <w:szCs w:val="28"/>
        </w:rPr>
        <w:t>Use Note</w:t>
      </w:r>
    </w:p>
    <w:p w:rsidR="00D03A78" w:rsidRPr="00836EE9" w:rsidRDefault="00936CE4">
      <w:pPr>
        <w:pStyle w:val="BodyText"/>
        <w:spacing w:line="240" w:lineRule="auto"/>
        <w:rPr>
          <w:rFonts w:ascii="Times New Roman" w:hAnsi="Times New Roman"/>
          <w:sz w:val="28"/>
          <w:szCs w:val="28"/>
        </w:rPr>
      </w:pPr>
      <w:r w:rsidRPr="00836EE9">
        <w:rPr>
          <w:rFonts w:ascii="Times New Roman" w:hAnsi="Times New Roman"/>
          <w:sz w:val="28"/>
          <w:szCs w:val="28"/>
        </w:rPr>
        <w:t>This instruction introduces all damage instructions in cases where liability of the defendant is admitted.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:rsidR="00D03A78" w:rsidRPr="00836EE9" w:rsidRDefault="00936CE4">
      <w:pPr>
        <w:widowControl/>
        <w:tabs>
          <w:tab w:val="left" w:pos="-720"/>
          <w:tab w:val="left" w:pos="144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 w:rsidRPr="00836EE9">
        <w:rPr>
          <w:rFonts w:ascii="Times New Roman" w:hAnsi="Times New Roman"/>
          <w:spacing w:val="-3"/>
          <w:sz w:val="28"/>
          <w:szCs w:val="28"/>
        </w:rPr>
        <w:t>See Use Note and Comment to Instruction 20.01A.</w:t>
      </w:r>
    </w:p>
    <w:p w:rsidR="00D03A78" w:rsidRPr="00836EE9" w:rsidRDefault="00D03A78">
      <w:pPr>
        <w:widowControl/>
        <w:tabs>
          <w:tab w:val="left" w:pos="-720"/>
          <w:tab w:val="left" w:pos="144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sectPr w:rsidR="00D03A78" w:rsidRPr="00836EE9">
      <w:footerReference w:type="default" r:id="rId6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A78" w:rsidRDefault="00D03A78">
      <w:pPr>
        <w:spacing w:line="20" w:lineRule="exact"/>
      </w:pPr>
    </w:p>
  </w:endnote>
  <w:endnote w:type="continuationSeparator" w:id="0">
    <w:p w:rsidR="00D03A78" w:rsidRDefault="00936CE4">
      <w:r>
        <w:t xml:space="preserve"> </w:t>
      </w:r>
    </w:p>
  </w:endnote>
  <w:endnote w:type="continuationNotice" w:id="1">
    <w:p w:rsidR="00D03A78" w:rsidRDefault="00936C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A78" w:rsidRPr="00836EE9" w:rsidRDefault="00C457AA">
    <w:pPr>
      <w:pStyle w:val="Footer"/>
      <w:tabs>
        <w:tab w:val="clear" w:pos="4320"/>
        <w:tab w:val="clear" w:pos="8640"/>
        <w:tab w:val="left" w:pos="1440"/>
        <w:tab w:val="right" w:pos="9360"/>
      </w:tabs>
      <w:rPr>
        <w:rStyle w:val="PageNumber"/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Revised 2021</w:t>
    </w:r>
    <w:r w:rsidRPr="00C457AA">
      <w:rPr>
        <w:rFonts w:ascii="Times New Roman" w:hAnsi="Times New Roman"/>
        <w:sz w:val="20"/>
      </w:rPr>
      <w:ptab w:relativeTo="margin" w:alignment="center" w:leader="none"/>
    </w:r>
    <w:r>
      <w:rPr>
        <w:rFonts w:ascii="Times New Roman" w:hAnsi="Times New Roman"/>
        <w:sz w:val="20"/>
      </w:rPr>
      <w:t>20.01B</w:t>
    </w:r>
    <w:r w:rsidRPr="00C457AA">
      <w:rPr>
        <w:rFonts w:ascii="Times New Roman" w:hAnsi="Times New Roman"/>
        <w:sz w:val="20"/>
      </w:rPr>
      <w:ptab w:relativeTo="margin" w:alignment="right" w:leader="none"/>
    </w:r>
    <w:r w:rsidRPr="00C457AA">
      <w:rPr>
        <w:rFonts w:ascii="Times New Roman" w:hAnsi="Times New Roman"/>
        <w:sz w:val="20"/>
      </w:rPr>
      <w:fldChar w:fldCharType="begin"/>
    </w:r>
    <w:r w:rsidRPr="00C457AA">
      <w:rPr>
        <w:rFonts w:ascii="Times New Roman" w:hAnsi="Times New Roman"/>
        <w:sz w:val="20"/>
      </w:rPr>
      <w:instrText xml:space="preserve"> PAGE   \* MERGEFORMAT </w:instrText>
    </w:r>
    <w:r w:rsidRPr="00C457AA">
      <w:rPr>
        <w:rFonts w:ascii="Times New Roman" w:hAnsi="Times New Roman"/>
        <w:sz w:val="20"/>
      </w:rPr>
      <w:fldChar w:fldCharType="separate"/>
    </w:r>
    <w:r w:rsidRPr="00C457AA">
      <w:rPr>
        <w:rFonts w:ascii="Times New Roman" w:hAnsi="Times New Roman"/>
        <w:noProof/>
        <w:sz w:val="20"/>
      </w:rPr>
      <w:t>1</w:t>
    </w:r>
    <w:r w:rsidRPr="00C457AA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A78" w:rsidRDefault="00936CE4">
      <w:r>
        <w:separator/>
      </w:r>
    </w:p>
  </w:footnote>
  <w:footnote w:type="continuationSeparator" w:id="0">
    <w:p w:rsidR="00D03A78" w:rsidRDefault="0093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7E"/>
    <w:rsid w:val="001474D9"/>
    <w:rsid w:val="00294DD7"/>
    <w:rsid w:val="002B617B"/>
    <w:rsid w:val="002E5E34"/>
    <w:rsid w:val="00363C8D"/>
    <w:rsid w:val="0055597E"/>
    <w:rsid w:val="00585485"/>
    <w:rsid w:val="006E6A01"/>
    <w:rsid w:val="00787BF1"/>
    <w:rsid w:val="00836EE9"/>
    <w:rsid w:val="00867857"/>
    <w:rsid w:val="00936CE4"/>
    <w:rsid w:val="00B4508F"/>
    <w:rsid w:val="00B72349"/>
    <w:rsid w:val="00C457AA"/>
    <w:rsid w:val="00D03A78"/>
    <w:rsid w:val="00D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9F00551"/>
  <w15:docId w15:val="{4C967A2A-6394-4370-B8D8-713C8610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  <w:tab w:val="left" w:pos="1440"/>
      </w:tabs>
      <w:suppressAutoHyphens/>
      <w:spacing w:line="480" w:lineRule="auto"/>
      <w:jc w:val="center"/>
      <w:outlineLvl w:val="0"/>
    </w:pPr>
    <w:rPr>
      <w:rFonts w:ascii="CG Times (PCL6)" w:hAnsi="CG Times (PCL6)"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tabs>
        <w:tab w:val="left" w:pos="-720"/>
        <w:tab w:val="left" w:pos="1440"/>
      </w:tabs>
      <w:suppressAutoHyphens/>
      <w:spacing w:line="480" w:lineRule="auto"/>
      <w:jc w:val="both"/>
    </w:pPr>
    <w:rPr>
      <w:rFonts w:ascii="CG Times (PCL6)" w:hAnsi="CG Times (PCL6)"/>
      <w:spacing w:val="-3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widowControl/>
      <w:tabs>
        <w:tab w:val="left" w:pos="-720"/>
        <w:tab w:val="left" w:pos="1440"/>
      </w:tabs>
      <w:suppressAutoHyphens/>
      <w:ind w:left="1440" w:hanging="1440"/>
      <w:jc w:val="both"/>
    </w:pPr>
    <w:rPr>
      <w:rFonts w:ascii="Bookman Old Style" w:hAnsi="Bookman Old Style"/>
      <w:b/>
      <w:spacing w:val="-3"/>
      <w:sz w:val="26"/>
    </w:rPr>
  </w:style>
  <w:style w:type="character" w:customStyle="1" w:styleId="zzmpTrailerItem">
    <w:name w:val="zzmpTrailerItem"/>
    <w:rsid w:val="00B4508F"/>
    <w:rPr>
      <w:rFonts w:ascii="Courier" w:hAnsi="Courier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Johnson</dc:creator>
  <cp:lastModifiedBy>Hanley Robinson</cp:lastModifiedBy>
  <cp:revision>2</cp:revision>
  <dcterms:created xsi:type="dcterms:W3CDTF">2022-05-26T20:37:00Z</dcterms:created>
  <dcterms:modified xsi:type="dcterms:W3CDTF">2022-05-26T20:37:00Z</dcterms:modified>
</cp:coreProperties>
</file>