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057E">
      <w:pPr>
        <w:widowControl/>
        <w:tabs>
          <w:tab w:val="left" w:pos="-720"/>
          <w:tab w:val="left" w:pos="1440"/>
        </w:tabs>
        <w:suppressAutoHyphens/>
        <w:spacing w:line="360" w:lineRule="auto"/>
        <w:jc w:val="both"/>
        <w:rPr>
          <w:rFonts w:ascii="Bookman Old Style" w:hAnsi="Bookman Old Style"/>
          <w:spacing w:val="-3"/>
          <w:sz w:val="26"/>
        </w:rPr>
      </w:pPr>
      <w:bookmarkStart w:id="0" w:name="_GoBack"/>
      <w:bookmarkEnd w:id="0"/>
      <w:r>
        <w:rPr>
          <w:rFonts w:ascii="Bookman Old Style" w:hAnsi="Bookman Old Style"/>
          <w:spacing w:val="-3"/>
          <w:sz w:val="26"/>
        </w:rPr>
        <w:t>20.03</w:t>
      </w:r>
      <w:r>
        <w:rPr>
          <w:rFonts w:ascii="Bookman Old Style" w:hAnsi="Bookman Old Style"/>
          <w:spacing w:val="-3"/>
          <w:sz w:val="26"/>
        </w:rPr>
        <w:tab/>
        <w:t>PAST EARNINGS</w:t>
      </w:r>
    </w:p>
    <w:p w:rsidR="00000000" w:rsidRDefault="00C1057E">
      <w:pPr>
        <w:widowControl/>
        <w:tabs>
          <w:tab w:val="left" w:pos="-720"/>
          <w:tab w:val="left" w:pos="1440"/>
        </w:tabs>
        <w:suppressAutoHyphens/>
        <w:spacing w:line="360" w:lineRule="auto"/>
        <w:jc w:val="both"/>
        <w:rPr>
          <w:rFonts w:ascii="Bookman Old Style" w:hAnsi="Bookman Old Style"/>
          <w:b/>
          <w:spacing w:val="-3"/>
          <w:sz w:val="26"/>
        </w:rPr>
      </w:pPr>
    </w:p>
    <w:p w:rsidR="00000000" w:rsidRDefault="00C1057E">
      <w:pPr>
        <w:pStyle w:val="BodyText"/>
        <w:spacing w:line="360" w:lineRule="auto"/>
        <w:rPr>
          <w:rFonts w:ascii="Bookman Old Style" w:hAnsi="Bookman Old Style"/>
          <w:sz w:val="26"/>
        </w:rPr>
      </w:pPr>
      <w:r>
        <w:rPr>
          <w:rFonts w:ascii="Bookman Old Style" w:hAnsi="Bookman Old Style"/>
          <w:sz w:val="26"/>
        </w:rPr>
        <w:t xml:space="preserve">The (first, second, etc.) item of economic loss claimed by the plaintiff is the value of (work time) (earnings) (profits) (salaries) lost by the plaintiff from the (insert date of the accident) to (insert date of trial).  To calculate </w:t>
      </w:r>
      <w:r>
        <w:rPr>
          <w:rFonts w:ascii="Bookman Old Style" w:hAnsi="Bookman Old Style"/>
          <w:sz w:val="26"/>
        </w:rPr>
        <w:t>this amount, you must deduct federal [and state] income taxes that would have been paid.</w:t>
      </w:r>
    </w:p>
    <w:p w:rsidR="00000000" w:rsidRDefault="00C1057E">
      <w:pPr>
        <w:pStyle w:val="BodyText"/>
        <w:spacing w:line="360" w:lineRule="auto"/>
        <w:rPr>
          <w:rFonts w:ascii="Bookman Old Style" w:hAnsi="Bookman Old Style"/>
          <w:sz w:val="26"/>
        </w:rPr>
      </w:pPr>
    </w:p>
    <w:p w:rsidR="00000000" w:rsidRDefault="00C1057E">
      <w:pPr>
        <w:pStyle w:val="BodyText"/>
        <w:spacing w:line="360" w:lineRule="auto"/>
        <w:jc w:val="center"/>
        <w:rPr>
          <w:rFonts w:ascii="Bookman Old Style" w:hAnsi="Bookman Old Style"/>
          <w:sz w:val="26"/>
          <w:u w:val="single"/>
        </w:rPr>
      </w:pPr>
    </w:p>
    <w:p w:rsidR="00000000" w:rsidRDefault="00C1057E">
      <w:pPr>
        <w:pStyle w:val="BodyText"/>
        <w:spacing w:line="240" w:lineRule="auto"/>
        <w:jc w:val="center"/>
        <w:rPr>
          <w:rFonts w:ascii="Bookman Old Style" w:hAnsi="Bookman Old Style"/>
          <w:sz w:val="26"/>
        </w:rPr>
      </w:pPr>
      <w:r>
        <w:rPr>
          <w:rFonts w:ascii="Bookman Old Style" w:hAnsi="Bookman Old Style"/>
          <w:sz w:val="26"/>
          <w:u w:val="single"/>
        </w:rPr>
        <w:t>Use Note</w:t>
      </w:r>
    </w:p>
    <w:p w:rsidR="00000000" w:rsidRDefault="00C1057E">
      <w:pPr>
        <w:pStyle w:val="BodyText"/>
        <w:spacing w:line="240" w:lineRule="auto"/>
        <w:jc w:val="center"/>
        <w:rPr>
          <w:rFonts w:ascii="Bookman Old Style" w:hAnsi="Bookman Old Style"/>
          <w:sz w:val="26"/>
        </w:rPr>
      </w:pPr>
    </w:p>
    <w:p w:rsidR="00000000" w:rsidRDefault="00C1057E">
      <w:pPr>
        <w:pStyle w:val="BodyText"/>
        <w:spacing w:line="240" w:lineRule="auto"/>
        <w:rPr>
          <w:rFonts w:ascii="Bookman Old Style" w:hAnsi="Bookman Old Style"/>
          <w:sz w:val="26"/>
        </w:rPr>
      </w:pPr>
      <w:r>
        <w:rPr>
          <w:rFonts w:ascii="Bookman Old Style" w:hAnsi="Bookman Old Style"/>
          <w:sz w:val="26"/>
        </w:rPr>
        <w:t>This instruction should be used with Instruction 20.01A or 20.01B when past wage loss is claimed.</w:t>
      </w:r>
    </w:p>
    <w:p w:rsidR="00000000" w:rsidRDefault="00C1057E">
      <w:pPr>
        <w:pStyle w:val="BodyText"/>
        <w:spacing w:line="240" w:lineRule="auto"/>
        <w:rPr>
          <w:rFonts w:ascii="Bookman Old Style" w:hAnsi="Bookman Old Style"/>
          <w:sz w:val="26"/>
        </w:rPr>
      </w:pPr>
    </w:p>
    <w:p w:rsidR="00000000" w:rsidRDefault="00C1057E">
      <w:pPr>
        <w:pStyle w:val="BodyText"/>
        <w:spacing w:line="240" w:lineRule="auto"/>
        <w:jc w:val="center"/>
        <w:rPr>
          <w:rFonts w:ascii="Bookman Old Style" w:hAnsi="Bookman Old Style"/>
          <w:sz w:val="26"/>
        </w:rPr>
      </w:pPr>
      <w:r>
        <w:rPr>
          <w:rFonts w:ascii="Bookman Old Style" w:hAnsi="Bookman Old Style"/>
          <w:sz w:val="26"/>
          <w:u w:val="single"/>
        </w:rPr>
        <w:t>Comment</w:t>
      </w:r>
    </w:p>
    <w:p w:rsidR="00000000" w:rsidRDefault="00C1057E">
      <w:pPr>
        <w:pStyle w:val="BodyText"/>
        <w:spacing w:line="240" w:lineRule="auto"/>
        <w:jc w:val="center"/>
        <w:rPr>
          <w:rFonts w:ascii="Bookman Old Style" w:hAnsi="Bookman Old Style"/>
          <w:sz w:val="26"/>
        </w:rPr>
      </w:pPr>
    </w:p>
    <w:p w:rsidR="00000000" w:rsidRDefault="00C1057E">
      <w:pPr>
        <w:pStyle w:val="BodyText"/>
        <w:spacing w:line="240" w:lineRule="auto"/>
        <w:rPr>
          <w:rFonts w:ascii="Bookman Old Style" w:hAnsi="Bookman Old Style"/>
          <w:sz w:val="26"/>
        </w:rPr>
      </w:pPr>
      <w:r>
        <w:rPr>
          <w:rFonts w:ascii="Bookman Old Style" w:hAnsi="Bookman Old Style"/>
          <w:sz w:val="26"/>
        </w:rPr>
        <w:t>An award of damages for loss of past earnings o</w:t>
      </w:r>
      <w:r>
        <w:rPr>
          <w:rFonts w:ascii="Bookman Old Style" w:hAnsi="Bookman Old Style"/>
          <w:sz w:val="26"/>
        </w:rPr>
        <w:t xml:space="preserve">r wages has been approved in </w:t>
      </w:r>
      <w:r>
        <w:rPr>
          <w:rFonts w:ascii="Bookman Old Style" w:hAnsi="Bookman Old Style"/>
          <w:sz w:val="26"/>
          <w:u w:val="single"/>
        </w:rPr>
        <w:t>Walker v. Alaska Road Commission</w:t>
      </w:r>
      <w:r>
        <w:rPr>
          <w:rFonts w:ascii="Bookman Old Style" w:hAnsi="Bookman Old Style"/>
          <w:sz w:val="26"/>
        </w:rPr>
        <w:t xml:space="preserve">, 388 P.2d 406, 407 (Alaska 1964); </w:t>
      </w:r>
      <w:r>
        <w:rPr>
          <w:rFonts w:ascii="Bookman Old Style" w:hAnsi="Bookman Old Style"/>
          <w:sz w:val="26"/>
          <w:u w:val="single"/>
        </w:rPr>
        <w:t>Saslow v. Rexford</w:t>
      </w:r>
      <w:r>
        <w:rPr>
          <w:rFonts w:ascii="Bookman Old Style" w:hAnsi="Bookman Old Style"/>
          <w:sz w:val="26"/>
        </w:rPr>
        <w:t xml:space="preserve">, 395 P.2d 36, 42 (Alaska 1969); </w:t>
      </w:r>
      <w:r>
        <w:rPr>
          <w:rFonts w:ascii="Bookman Old Style" w:hAnsi="Bookman Old Style"/>
          <w:sz w:val="26"/>
          <w:u w:val="single"/>
        </w:rPr>
        <w:t>National Bank of Alaska v. McHugh</w:t>
      </w:r>
      <w:r>
        <w:rPr>
          <w:rFonts w:ascii="Bookman Old Style" w:hAnsi="Bookman Old Style"/>
          <w:sz w:val="26"/>
        </w:rPr>
        <w:t xml:space="preserve">, 416 P.2d 239, 244 (Alaska 1966); </w:t>
      </w:r>
      <w:r>
        <w:rPr>
          <w:rFonts w:ascii="Bookman Old Style" w:hAnsi="Bookman Old Style"/>
          <w:sz w:val="26"/>
          <w:u w:val="single"/>
        </w:rPr>
        <w:t>Beaulieu v. Elliott</w:t>
      </w:r>
      <w:r>
        <w:rPr>
          <w:rFonts w:ascii="Bookman Old Style" w:hAnsi="Bookman Old Style"/>
          <w:sz w:val="26"/>
        </w:rPr>
        <w:t>, 434 P.2d 665, 673-674</w:t>
      </w:r>
      <w:r>
        <w:rPr>
          <w:rFonts w:ascii="Bookman Old Style" w:hAnsi="Bookman Old Style"/>
          <w:sz w:val="26"/>
        </w:rPr>
        <w:t xml:space="preserve"> (Alaska 1967); </w:t>
      </w:r>
      <w:r>
        <w:rPr>
          <w:rFonts w:ascii="Bookman Old Style" w:hAnsi="Bookman Old Style"/>
          <w:sz w:val="26"/>
          <w:u w:val="single"/>
        </w:rPr>
        <w:t>Fruit v. Schreiner</w:t>
      </w:r>
      <w:r>
        <w:rPr>
          <w:rFonts w:ascii="Bookman Old Style" w:hAnsi="Bookman Old Style"/>
          <w:sz w:val="26"/>
        </w:rPr>
        <w:t xml:space="preserve">, 502 P.2d 133, 145 (Alaska 1972); </w:t>
      </w:r>
      <w:r>
        <w:rPr>
          <w:rFonts w:ascii="Bookman Old Style" w:hAnsi="Bookman Old Style"/>
          <w:sz w:val="26"/>
          <w:u w:val="single"/>
        </w:rPr>
        <w:t>State v. Guinn</w:t>
      </w:r>
      <w:r>
        <w:rPr>
          <w:rFonts w:ascii="Bookman Old Style" w:hAnsi="Bookman Old Style"/>
          <w:sz w:val="26"/>
        </w:rPr>
        <w:t xml:space="preserve">, 555 P.2d 530 (Alaska 1976); </w:t>
      </w:r>
      <w:r>
        <w:rPr>
          <w:rFonts w:ascii="Bookman Old Style" w:hAnsi="Bookman Old Style"/>
          <w:sz w:val="26"/>
          <w:u w:val="single"/>
        </w:rPr>
        <w:t>Teamsters Local 959 v. Wells</w:t>
      </w:r>
      <w:r>
        <w:rPr>
          <w:rFonts w:ascii="Bookman Old Style" w:hAnsi="Bookman Old Style"/>
          <w:sz w:val="26"/>
        </w:rPr>
        <w:t xml:space="preserve">, 749 P.2d 349, 361 (Alaska 1988).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also</w:t>
      </w:r>
      <w:r>
        <w:rPr>
          <w:rFonts w:ascii="Bookman Old Style" w:hAnsi="Bookman Old Style"/>
          <w:sz w:val="26"/>
        </w:rPr>
        <w:t xml:space="preserve"> </w:t>
      </w:r>
      <w:r>
        <w:rPr>
          <w:rFonts w:ascii="Bookman Old Style" w:hAnsi="Bookman Old Style"/>
          <w:sz w:val="26"/>
          <w:u w:val="single"/>
        </w:rPr>
        <w:t>American National Watermattress Corp. v. Manville</w:t>
      </w:r>
      <w:r>
        <w:rPr>
          <w:rFonts w:ascii="Bookman Old Style" w:hAnsi="Bookman Old Style"/>
          <w:sz w:val="26"/>
        </w:rPr>
        <w:t>, 642 P.2d 1330, 1341</w:t>
      </w:r>
      <w:r>
        <w:rPr>
          <w:rFonts w:ascii="Bookman Old Style" w:hAnsi="Bookman Old Style"/>
          <w:sz w:val="26"/>
        </w:rPr>
        <w:t xml:space="preserve"> (Alaska 1982). In </w:t>
      </w:r>
      <w:r>
        <w:rPr>
          <w:rFonts w:ascii="Bookman Old Style" w:hAnsi="Bookman Old Style"/>
          <w:sz w:val="26"/>
          <w:u w:val="single"/>
        </w:rPr>
        <w:t>Patrick v. Sedwick</w:t>
      </w:r>
      <w:r>
        <w:rPr>
          <w:rFonts w:ascii="Bookman Old Style" w:hAnsi="Bookman Old Style"/>
          <w:sz w:val="26"/>
        </w:rPr>
        <w:t xml:space="preserve">, 413 P.2d 169, 173-75 (Alaska 1974); and </w:t>
      </w:r>
      <w:r>
        <w:rPr>
          <w:rFonts w:ascii="Bookman Old Style" w:hAnsi="Bookman Old Style"/>
          <w:sz w:val="26"/>
          <w:u w:val="single"/>
        </w:rPr>
        <w:t>Bemis v. Bertram</w:t>
      </w:r>
      <w:r>
        <w:rPr>
          <w:rFonts w:ascii="Bookman Old Style" w:hAnsi="Bookman Old Style"/>
          <w:sz w:val="26"/>
        </w:rPr>
        <w:t>, 532 P.2d 1012 (Alaska 1975), damages awards for (reasonable value of) “loss of time” were approved in principle.  In these latter cases, the phrase “loss of ti</w:t>
      </w:r>
      <w:r>
        <w:rPr>
          <w:rFonts w:ascii="Bookman Old Style" w:hAnsi="Bookman Old Style"/>
          <w:sz w:val="26"/>
        </w:rPr>
        <w:t>me” rather than “loss of wages” was used because the parties involved did not have regular employment with determinable wage losses.  (</w:t>
      </w:r>
      <w:r>
        <w:rPr>
          <w:rFonts w:ascii="Bookman Old Style" w:hAnsi="Bookman Old Style"/>
          <w:sz w:val="26"/>
          <w:u w:val="single"/>
        </w:rPr>
        <w:t>Patrick</w:t>
      </w:r>
      <w:r>
        <w:rPr>
          <w:rFonts w:ascii="Bookman Old Style" w:hAnsi="Bookman Old Style"/>
          <w:sz w:val="26"/>
        </w:rPr>
        <w:t xml:space="preserve">-housewife; </w:t>
      </w:r>
      <w:r>
        <w:rPr>
          <w:rFonts w:ascii="Bookman Old Style" w:hAnsi="Bookman Old Style"/>
          <w:sz w:val="26"/>
          <w:u w:val="single"/>
        </w:rPr>
        <w:t>Maloney</w:t>
      </w:r>
      <w:r>
        <w:rPr>
          <w:rFonts w:ascii="Bookman Old Style" w:hAnsi="Bookman Old Style"/>
          <w:sz w:val="26"/>
        </w:rPr>
        <w:t>-various prior employment.)</w:t>
      </w:r>
    </w:p>
    <w:p w:rsidR="00000000" w:rsidRDefault="00C1057E">
      <w:pPr>
        <w:pStyle w:val="BodyText"/>
        <w:spacing w:line="240" w:lineRule="auto"/>
        <w:rPr>
          <w:rFonts w:ascii="Bookman Old Style" w:hAnsi="Bookman Old Style"/>
          <w:sz w:val="26"/>
        </w:rPr>
      </w:pPr>
    </w:p>
    <w:p w:rsidR="00000000" w:rsidRDefault="00C1057E">
      <w:pPr>
        <w:pStyle w:val="BodyText"/>
        <w:spacing w:line="240" w:lineRule="auto"/>
        <w:rPr>
          <w:rFonts w:ascii="Bookman Old Style" w:hAnsi="Bookman Old Style"/>
          <w:sz w:val="26"/>
        </w:rPr>
      </w:pPr>
      <w:r>
        <w:rPr>
          <w:rFonts w:ascii="Bookman Old Style" w:hAnsi="Bookman Old Style"/>
          <w:sz w:val="26"/>
          <w:u w:val="single"/>
        </w:rPr>
        <w:t>Beaulieu v. Elliott</w:t>
      </w:r>
      <w:r>
        <w:rPr>
          <w:rFonts w:ascii="Bookman Old Style" w:hAnsi="Bookman Old Style"/>
          <w:sz w:val="26"/>
        </w:rPr>
        <w:t>, 434 P.2d 665 (Alaska 1967), held that an awar</w:t>
      </w:r>
      <w:r>
        <w:rPr>
          <w:rFonts w:ascii="Bookman Old Style" w:hAnsi="Bookman Old Style"/>
          <w:sz w:val="26"/>
        </w:rPr>
        <w:t>d for past wage loss should include a deduction for income taxes that would have been paid.</w:t>
      </w:r>
    </w:p>
    <w:p w:rsidR="00000000" w:rsidRDefault="00C1057E">
      <w:pPr>
        <w:pStyle w:val="BodyText"/>
        <w:spacing w:line="240" w:lineRule="auto"/>
        <w:rPr>
          <w:rFonts w:ascii="Bookman Old Style" w:hAnsi="Bookman Old Style"/>
          <w:sz w:val="26"/>
        </w:rPr>
      </w:pPr>
    </w:p>
    <w:p w:rsidR="00000000" w:rsidRDefault="00C1057E">
      <w:pPr>
        <w:pStyle w:val="BodyText"/>
        <w:spacing w:line="240" w:lineRule="auto"/>
        <w:rPr>
          <w:rFonts w:ascii="Bookman Old Style" w:hAnsi="Bookman Old Style"/>
          <w:i/>
          <w:sz w:val="26"/>
        </w:rPr>
      </w:pPr>
      <w:r>
        <w:rPr>
          <w:rFonts w:ascii="Bookman Old Style" w:hAnsi="Bookman Old Style"/>
          <w:sz w:val="26"/>
        </w:rPr>
        <w:t xml:space="preserve">In </w:t>
      </w:r>
      <w:r>
        <w:rPr>
          <w:rFonts w:ascii="Bookman Old Style" w:hAnsi="Bookman Old Style"/>
          <w:sz w:val="26"/>
          <w:u w:val="single"/>
        </w:rPr>
        <w:t>Spruce Equipment Co. v. Maloney</w:t>
      </w:r>
      <w:r>
        <w:rPr>
          <w:rFonts w:ascii="Bookman Old Style" w:hAnsi="Bookman Old Style"/>
          <w:sz w:val="26"/>
        </w:rPr>
        <w:t>, 527 P.2d 1295 (Alaska 1974), there was evidence that the plaintiff engaged in recreation and gainful personal activities but ma</w:t>
      </w:r>
      <w:r>
        <w:rPr>
          <w:rFonts w:ascii="Bookman Old Style" w:hAnsi="Bookman Old Style"/>
          <w:sz w:val="26"/>
        </w:rPr>
        <w:t xml:space="preserve">de no effort to secure other employment.  On those facts, </w:t>
      </w:r>
      <w:r>
        <w:rPr>
          <w:rFonts w:ascii="Bookman Old Style" w:hAnsi="Bookman Old Style"/>
          <w:sz w:val="26"/>
        </w:rPr>
        <w:lastRenderedPageBreak/>
        <w:t xml:space="preserve">the Court held that it was error not to instruct the jury on the plaintiff’s duty to mitigate his losses.  </w:t>
      </w:r>
      <w:r>
        <w:rPr>
          <w:rFonts w:ascii="Bookman Old Style" w:hAnsi="Bookman Old Style"/>
          <w:sz w:val="26"/>
          <w:u w:val="single"/>
        </w:rPr>
        <w:t>Id</w:t>
      </w:r>
      <w:r>
        <w:rPr>
          <w:rFonts w:ascii="Bookman Old Style" w:hAnsi="Bookman Old Style"/>
          <w:sz w:val="26"/>
        </w:rPr>
        <w:t xml:space="preserve">. at 1300-01.  The Court’s discussion refers to modifications that should have been made </w:t>
      </w:r>
      <w:r>
        <w:rPr>
          <w:rFonts w:ascii="Bookman Old Style" w:hAnsi="Bookman Old Style"/>
          <w:sz w:val="26"/>
        </w:rPr>
        <w:t xml:space="preserve">to include this concept in the instruction on lost wages.  Nevertheless, nothing in the rationale of the </w:t>
      </w:r>
      <w:r>
        <w:rPr>
          <w:rFonts w:ascii="Bookman Old Style" w:hAnsi="Bookman Old Style"/>
          <w:sz w:val="26"/>
          <w:u w:val="single"/>
        </w:rPr>
        <w:t>Spruce Equipment</w:t>
      </w:r>
      <w:r>
        <w:rPr>
          <w:rFonts w:ascii="Bookman Old Style" w:hAnsi="Bookman Old Style"/>
          <w:sz w:val="26"/>
        </w:rPr>
        <w:t xml:space="preserve"> decision suggests that it would be inappropriate to give a general instruction on the duty to mitigate, rather than an instruction spe</w:t>
      </w:r>
      <w:r>
        <w:rPr>
          <w:rFonts w:ascii="Bookman Old Style" w:hAnsi="Bookman Old Style"/>
          <w:sz w:val="26"/>
        </w:rPr>
        <w:t>cifically discussing this duty in the context of past lost wages.  In these instructions, the general concept of mitigation is addressed in Instruction 20.18A.</w:t>
      </w:r>
    </w:p>
    <w:sectPr w:rsidR="00000000">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057E">
      <w:pPr>
        <w:spacing w:line="20" w:lineRule="exact"/>
      </w:pPr>
    </w:p>
  </w:endnote>
  <w:endnote w:type="continuationSeparator" w:id="0">
    <w:p w:rsidR="00000000" w:rsidRDefault="00C1057E">
      <w:r>
        <w:t xml:space="preserve"> </w:t>
      </w:r>
    </w:p>
  </w:endnote>
  <w:endnote w:type="continuationNotice" w:id="1">
    <w:p w:rsidR="00000000" w:rsidRDefault="00C1057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PCL6)">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057E">
    <w:pPr>
      <w:pStyle w:val="Footer"/>
      <w:tabs>
        <w:tab w:val="clear" w:pos="4320"/>
        <w:tab w:val="clear" w:pos="8640"/>
        <w:tab w:val="right" w:pos="9270"/>
      </w:tabs>
      <w:rPr>
        <w:rFonts w:ascii="Bookman Old Style" w:hAnsi="Bookman Old Style"/>
        <w:sz w:val="26"/>
      </w:rPr>
    </w:pPr>
    <w:r>
      <w:rPr>
        <w:rFonts w:ascii="Bookman Old Style" w:hAnsi="Bookman Old Style"/>
        <w:sz w:val="26"/>
      </w:rPr>
      <w:t>Revised 1990</w:t>
    </w:r>
    <w:r>
      <w:rPr>
        <w:rFonts w:ascii="Bookman Old Style" w:hAnsi="Bookman Old Style"/>
        <w:sz w:val="26"/>
      </w:rPr>
      <w:tab/>
      <w:t xml:space="preserve">20.03 -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727FD4">
      <w:rPr>
        <w:rStyle w:val="PageNumber"/>
        <w:rFonts w:ascii="Bookman Old Style" w:hAnsi="Bookman Old Style"/>
        <w:noProof/>
        <w:sz w:val="26"/>
      </w:rPr>
      <w:t>1</w:t>
    </w:r>
    <w:r>
      <w:rPr>
        <w:rStyle w:val="PageNumber"/>
        <w:rFonts w:ascii="Bookman Old Style" w:hAnsi="Bookman Old Style"/>
        <w:sz w:val="26"/>
      </w:rPr>
      <w:fldChar w:fldCharType="end"/>
    </w:r>
  </w:p>
  <w:p w:rsidR="00000000" w:rsidRDefault="00C10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057E">
      <w:r>
        <w:separator/>
      </w:r>
    </w:p>
  </w:footnote>
  <w:footnote w:type="continuationSeparator" w:id="0">
    <w:p w:rsidR="00000000" w:rsidRDefault="00C10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FD4"/>
    <w:rsid w:val="00727FD4"/>
    <w:rsid w:val="00C10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spacing w:line="480" w:lineRule="auto"/>
      <w:jc w:val="both"/>
    </w:pPr>
    <w:rPr>
      <w:rFonts w:ascii="CG Times (PCL6)" w:hAnsi="CG Times (PCL6)"/>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spacing w:line="480" w:lineRule="auto"/>
      <w:jc w:val="both"/>
    </w:pPr>
    <w:rPr>
      <w:rFonts w:ascii="CG Times (PCL6)" w:hAnsi="CG Times (PCL6)"/>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20</vt:lpstr>
    </vt:vector>
  </TitlesOfParts>
  <Company>Alaska Court System</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jlee</dc:creator>
  <cp:keywords/>
  <cp:lastModifiedBy>Michael Merrington</cp:lastModifiedBy>
  <cp:revision>3</cp:revision>
  <cp:lastPrinted>2000-08-24T19:13:00Z</cp:lastPrinted>
  <dcterms:created xsi:type="dcterms:W3CDTF">2017-04-04T18:51:00Z</dcterms:created>
  <dcterms:modified xsi:type="dcterms:W3CDTF">2017-04-04T18:51:00Z</dcterms:modified>
</cp:coreProperties>
</file>