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83205C">
      <w:pPr>
        <w:tabs>
          <w:tab w:val="left" w:pos="-720"/>
          <w:tab w:val="left" w:pos="1440"/>
        </w:tabs>
        <w:suppressAutoHyphens/>
        <w:jc w:val="both"/>
        <w:rPr>
          <w:rFonts w:ascii="Bookman Old Style" w:hAnsi="Bookman Old Style"/>
          <w:spacing w:val="-3"/>
          <w:sz w:val="26"/>
        </w:rPr>
      </w:pPr>
      <w:bookmarkStart w:id="0" w:name="_GoBack"/>
      <w:bookmarkEnd w:id="0"/>
      <w:r>
        <w:rPr>
          <w:rFonts w:ascii="Bookman Old Style" w:hAnsi="Bookman Old Style"/>
          <w:spacing w:val="-3"/>
          <w:sz w:val="26"/>
        </w:rPr>
        <w:t>20.08</w:t>
      </w:r>
      <w:r>
        <w:rPr>
          <w:rFonts w:ascii="Bookman Old Style" w:hAnsi="Bookman Old Style"/>
          <w:spacing w:val="-3"/>
          <w:sz w:val="26"/>
        </w:rPr>
        <w:tab/>
        <w:t>LOSS OF SPOUSAL CONSORTIUM</w:t>
      </w:r>
    </w:p>
    <w:p w:rsidR="00000000" w:rsidRDefault="0083205C">
      <w:pPr>
        <w:tabs>
          <w:tab w:val="left" w:pos="-720"/>
          <w:tab w:val="left" w:pos="1440"/>
        </w:tabs>
        <w:suppressAutoHyphens/>
        <w:spacing w:line="360" w:lineRule="auto"/>
        <w:jc w:val="both"/>
        <w:rPr>
          <w:rFonts w:ascii="Bookman Old Style" w:hAnsi="Bookman Old Style"/>
          <w:spacing w:val="-3"/>
          <w:sz w:val="26"/>
        </w:rPr>
      </w:pPr>
    </w:p>
    <w:p w:rsidR="00000000" w:rsidRDefault="0083205C">
      <w:pPr>
        <w:tabs>
          <w:tab w:val="left" w:pos="-720"/>
          <w:tab w:val="left" w:pos="1440"/>
        </w:tabs>
        <w:suppressAutoHyphens/>
        <w:spacing w:line="360" w:lineRule="auto"/>
        <w:jc w:val="both"/>
        <w:rPr>
          <w:rFonts w:ascii="Bookman Old Style" w:hAnsi="Bookman Old Style"/>
          <w:spacing w:val="-3"/>
          <w:sz w:val="26"/>
        </w:rPr>
      </w:pPr>
    </w:p>
    <w:p w:rsidR="00000000" w:rsidRDefault="0083205C">
      <w:pPr>
        <w:tabs>
          <w:tab w:val="left" w:pos="-720"/>
          <w:tab w:val="left" w:pos="1440"/>
        </w:tabs>
        <w:suppressAutoHyphens/>
        <w:spacing w:line="360" w:lineRule="auto"/>
        <w:jc w:val="both"/>
        <w:rPr>
          <w:rFonts w:ascii="Bookman Old Style" w:hAnsi="Bookman Old Style"/>
          <w:spacing w:val="-3"/>
          <w:sz w:val="26"/>
        </w:rPr>
      </w:pPr>
      <w:r>
        <w:rPr>
          <w:rFonts w:ascii="Bookman Old Style" w:hAnsi="Bookman Old Style"/>
          <w:spacing w:val="-3"/>
          <w:sz w:val="26"/>
        </w:rPr>
        <w:t>The (first, second, etc.) item of loss is claimed not by (name of principal plaintiff) but by (name of loss of consortium claimant), (his wife) (her husband).  (Name of loss of consortium claimant) seeks an award for dama</w:t>
      </w:r>
      <w:r>
        <w:rPr>
          <w:rFonts w:ascii="Bookman Old Style" w:hAnsi="Bookman Old Style"/>
          <w:spacing w:val="-3"/>
          <w:sz w:val="26"/>
        </w:rPr>
        <w:t>ge to (his) (her) relationship with (name of principal plaintiff.)</w:t>
      </w:r>
    </w:p>
    <w:p w:rsidR="00000000" w:rsidRDefault="0083205C">
      <w:pPr>
        <w:tabs>
          <w:tab w:val="left" w:pos="-720"/>
          <w:tab w:val="left" w:pos="1440"/>
        </w:tabs>
        <w:suppressAutoHyphens/>
        <w:spacing w:line="360" w:lineRule="auto"/>
        <w:jc w:val="both"/>
        <w:rPr>
          <w:rFonts w:ascii="Bookman Old Style" w:hAnsi="Bookman Old Style"/>
          <w:spacing w:val="-3"/>
          <w:sz w:val="26"/>
        </w:rPr>
      </w:pPr>
    </w:p>
    <w:p w:rsidR="00000000" w:rsidRDefault="0083205C">
      <w:pPr>
        <w:tabs>
          <w:tab w:val="left" w:pos="-720"/>
          <w:tab w:val="left" w:pos="1440"/>
        </w:tabs>
        <w:suppressAutoHyphens/>
        <w:spacing w:line="360" w:lineRule="auto"/>
        <w:jc w:val="both"/>
        <w:rPr>
          <w:rFonts w:ascii="Bookman Old Style" w:hAnsi="Bookman Old Style"/>
          <w:spacing w:val="-3"/>
          <w:sz w:val="26"/>
        </w:rPr>
      </w:pPr>
      <w:r>
        <w:rPr>
          <w:rFonts w:ascii="Bookman Old Style" w:hAnsi="Bookman Old Style"/>
          <w:spacing w:val="-3"/>
          <w:sz w:val="26"/>
        </w:rPr>
        <w:t>You may make an award to (name of loss of consortium claimant) for the fair value of the loss of society, comfort, care, protection, affection and companionship that (name of loss of conso</w:t>
      </w:r>
      <w:r>
        <w:rPr>
          <w:rFonts w:ascii="Bookman Old Style" w:hAnsi="Bookman Old Style"/>
          <w:spacing w:val="-3"/>
          <w:sz w:val="26"/>
        </w:rPr>
        <w:t>rtium claimant) has suffered or is reasonably probable to suffer in the future.  In deciding whether such a loss has occurred and the amount of any award, you may consider, among other things, evidence relating to the closeness and harmony of the relations</w:t>
      </w:r>
      <w:r>
        <w:rPr>
          <w:rFonts w:ascii="Bookman Old Style" w:hAnsi="Bookman Old Style"/>
          <w:spacing w:val="-3"/>
          <w:sz w:val="26"/>
        </w:rPr>
        <w:t>hip between (names of husband and wife).</w:t>
      </w:r>
    </w:p>
    <w:p w:rsidR="00000000" w:rsidRDefault="0083205C">
      <w:pPr>
        <w:pStyle w:val="BodyText2"/>
      </w:pPr>
    </w:p>
    <w:p w:rsidR="00000000" w:rsidRDefault="0083205C">
      <w:pPr>
        <w:pStyle w:val="BodyText2"/>
      </w:pPr>
      <w:r>
        <w:t>If you decide to compensate (name of loss of consortium claimant) for loss of this type, your award to (name of loss of consortium claimant) must not include any amount that duplicates any awards to (name of princi</w:t>
      </w:r>
      <w:r>
        <w:t xml:space="preserve">pal plaintiff).  For example, you should not compensate (name of loss of consortium claimant) for any loss of financial support from (her husband) (his wife) because that amount would already be included in (name of principal plaintiff)'s right to recover </w:t>
      </w:r>
      <w:r>
        <w:t>for loss of past earnings or loss of (his) (her) ability to earn money in the future.</w:t>
      </w:r>
    </w:p>
    <w:p w:rsidR="00000000" w:rsidRDefault="0083205C">
      <w:pPr>
        <w:tabs>
          <w:tab w:val="left" w:pos="-720"/>
          <w:tab w:val="left" w:pos="1440"/>
        </w:tabs>
        <w:suppressAutoHyphens/>
        <w:spacing w:line="360" w:lineRule="auto"/>
        <w:jc w:val="both"/>
        <w:rPr>
          <w:rFonts w:ascii="Bookman Old Style" w:hAnsi="Bookman Old Style"/>
          <w:spacing w:val="-3"/>
          <w:sz w:val="26"/>
        </w:rPr>
      </w:pPr>
    </w:p>
    <w:p w:rsidR="00000000" w:rsidRDefault="0083205C">
      <w:pPr>
        <w:tabs>
          <w:tab w:val="left" w:pos="-720"/>
          <w:tab w:val="left" w:pos="1440"/>
        </w:tabs>
        <w:suppressAutoHyphens/>
        <w:spacing w:line="360" w:lineRule="auto"/>
        <w:jc w:val="both"/>
        <w:rPr>
          <w:rFonts w:ascii="Bookman Old Style" w:hAnsi="Bookman Old Style"/>
          <w:spacing w:val="-3"/>
          <w:sz w:val="26"/>
        </w:rPr>
      </w:pPr>
    </w:p>
    <w:p w:rsidR="00000000" w:rsidRDefault="0083205C">
      <w:pPr>
        <w:pStyle w:val="Heading1"/>
        <w:rPr>
          <w:rFonts w:ascii="Bookman Old Style" w:hAnsi="Bookman Old Style"/>
          <w:sz w:val="26"/>
        </w:rPr>
      </w:pPr>
      <w:r>
        <w:rPr>
          <w:rFonts w:ascii="Bookman Old Style" w:hAnsi="Bookman Old Style"/>
          <w:sz w:val="26"/>
        </w:rPr>
        <w:t>Use Note</w:t>
      </w:r>
    </w:p>
    <w:p w:rsidR="00000000" w:rsidRDefault="0083205C">
      <w:pPr>
        <w:pStyle w:val="BodyText"/>
        <w:rPr>
          <w:rFonts w:ascii="Bookman Old Style" w:hAnsi="Bookman Old Style"/>
          <w:sz w:val="26"/>
        </w:rPr>
      </w:pPr>
      <w:r>
        <w:rPr>
          <w:rFonts w:ascii="Bookman Old Style" w:hAnsi="Bookman Old Style"/>
          <w:sz w:val="26"/>
        </w:rPr>
        <w:t xml:space="preserve">This instruction should be used for claims of loss of spousal consortium.  </w:t>
      </w:r>
      <w:r>
        <w:rPr>
          <w:rFonts w:ascii="Bookman Old Style" w:hAnsi="Bookman Old Style"/>
          <w:sz w:val="26"/>
        </w:rPr>
        <w:lastRenderedPageBreak/>
        <w:t>Although technically the consortium claimant is also a “plaintiff,” for ease of unde</w:t>
      </w:r>
      <w:r>
        <w:rPr>
          <w:rFonts w:ascii="Bookman Old Style" w:hAnsi="Bookman Old Style"/>
          <w:sz w:val="26"/>
        </w:rPr>
        <w:t>rstanding the names of each spouse should be used.</w:t>
      </w:r>
    </w:p>
    <w:p w:rsidR="00000000" w:rsidRDefault="0083205C">
      <w:pPr>
        <w:tabs>
          <w:tab w:val="left" w:pos="-720"/>
          <w:tab w:val="left" w:pos="1440"/>
        </w:tabs>
        <w:suppressAutoHyphens/>
        <w:jc w:val="both"/>
        <w:rPr>
          <w:rFonts w:ascii="Bookman Old Style" w:hAnsi="Bookman Old Style"/>
          <w:spacing w:val="-3"/>
          <w:sz w:val="26"/>
        </w:rPr>
      </w:pPr>
    </w:p>
    <w:p w:rsidR="00000000" w:rsidRDefault="0083205C">
      <w:pPr>
        <w:tabs>
          <w:tab w:val="left" w:pos="-720"/>
          <w:tab w:val="left" w:pos="1440"/>
        </w:tabs>
        <w:suppressAutoHyphens/>
        <w:jc w:val="both"/>
        <w:rPr>
          <w:rFonts w:ascii="Bookman Old Style" w:hAnsi="Bookman Old Style"/>
          <w:spacing w:val="-3"/>
          <w:sz w:val="26"/>
        </w:rPr>
      </w:pPr>
      <w:r>
        <w:rPr>
          <w:rFonts w:ascii="Bookman Old Style" w:hAnsi="Bookman Old Style"/>
          <w:spacing w:val="-3"/>
          <w:sz w:val="26"/>
        </w:rPr>
        <w:t>Effective May 1986, the legislature enacted AS 09.17.010 to limit certain non-economic damages.  Several legal issues that could affect loss of spousal consortium claims are raised by this statute.  First</w:t>
      </w:r>
      <w:r>
        <w:rPr>
          <w:rFonts w:ascii="Bookman Old Style" w:hAnsi="Bookman Old Style"/>
          <w:spacing w:val="-3"/>
          <w:sz w:val="26"/>
        </w:rPr>
        <w:t>, the application of AS 09.17.010 to loss of consortium claims is unclear.  Under AS 09.17.010(a), damages for non-economic loss are limited to particular categories.  Loss of consortium is not listed as one of these categories of non-economic loss, but th</w:t>
      </w:r>
      <w:r>
        <w:rPr>
          <w:rFonts w:ascii="Bookman Old Style" w:hAnsi="Bookman Old Style"/>
          <w:spacing w:val="-3"/>
          <w:sz w:val="26"/>
        </w:rPr>
        <w:t>ere is a catch-all reference to “other non-pecuniary damage.”  The omission of loss of consortium damages from the list of categories could be explained by concluding that loss of consortium is included in the catch-all category of “other non-pecuniary dam</w:t>
      </w:r>
      <w:r>
        <w:rPr>
          <w:rFonts w:ascii="Bookman Old Style" w:hAnsi="Bookman Old Style"/>
          <w:spacing w:val="-3"/>
          <w:sz w:val="26"/>
        </w:rPr>
        <w:t>age.”  Alternatively, it may be argued that loss of consortium claims are outside the scope of the damages that are affected by AS 09.17.010.</w:t>
      </w:r>
    </w:p>
    <w:p w:rsidR="00000000" w:rsidRDefault="0083205C">
      <w:pPr>
        <w:tabs>
          <w:tab w:val="left" w:pos="-720"/>
          <w:tab w:val="left" w:pos="1440"/>
        </w:tabs>
        <w:suppressAutoHyphens/>
        <w:jc w:val="both"/>
        <w:rPr>
          <w:rFonts w:ascii="Bookman Old Style" w:hAnsi="Bookman Old Style"/>
          <w:spacing w:val="-3"/>
          <w:sz w:val="26"/>
        </w:rPr>
      </w:pPr>
    </w:p>
    <w:p w:rsidR="00000000" w:rsidRDefault="0083205C">
      <w:pPr>
        <w:tabs>
          <w:tab w:val="left" w:pos="-720"/>
          <w:tab w:val="left" w:pos="1440"/>
        </w:tabs>
        <w:suppressAutoHyphens/>
        <w:jc w:val="both"/>
        <w:rPr>
          <w:rFonts w:ascii="Bookman Old Style" w:hAnsi="Bookman Old Style"/>
          <w:spacing w:val="-3"/>
          <w:sz w:val="26"/>
        </w:rPr>
      </w:pPr>
      <w:r>
        <w:rPr>
          <w:rFonts w:ascii="Bookman Old Style" w:hAnsi="Bookman Old Style"/>
          <w:spacing w:val="-3"/>
          <w:sz w:val="26"/>
        </w:rPr>
        <w:t>If it is concluded that AS 09.17.010 does not affect loss of consortium awards, this instruction may be given wit</w:t>
      </w:r>
      <w:r>
        <w:rPr>
          <w:rFonts w:ascii="Bookman Old Style" w:hAnsi="Bookman Old Style"/>
          <w:spacing w:val="-3"/>
          <w:sz w:val="26"/>
        </w:rPr>
        <w:t>hout modification, and Instructions 20.07A, B, C or D may also be given without modification.  However, if the loss of consortium award is subject to AS 09.17.010(b), it may be necessary to modify this Instruction 20.08 or Instructions 20.07A, B, C or D to</w:t>
      </w:r>
      <w:r>
        <w:rPr>
          <w:rFonts w:ascii="Bookman Old Style" w:hAnsi="Bookman Old Style"/>
          <w:spacing w:val="-3"/>
          <w:sz w:val="26"/>
        </w:rPr>
        <w:t xml:space="preserve"> advise the jury that there is a cap on the loss of consortium award.  The nature of the modifications depends on whether there is a separate $500,000 cap for each plaintiff’s non-economic losses (i.e., a separate $500,000 cap for the principal plaintiff a</w:t>
      </w:r>
      <w:r>
        <w:rPr>
          <w:rFonts w:ascii="Bookman Old Style" w:hAnsi="Bookman Old Style"/>
          <w:spacing w:val="-3"/>
          <w:sz w:val="26"/>
        </w:rPr>
        <w:t>nd a separate $500,000 cap for the spouse), or whether AS 09.17.010(b) imposes a single $500,000 cap on all of the non-economic loss claims (including loss of consortium) arising out of a particular incident or injury.  If there is a single limit of $500,0</w:t>
      </w:r>
      <w:r>
        <w:rPr>
          <w:rFonts w:ascii="Bookman Old Style" w:hAnsi="Bookman Old Style"/>
          <w:spacing w:val="-3"/>
          <w:sz w:val="26"/>
        </w:rPr>
        <w:t>00 for all of the claims, Instructions 20.07A, B, C or D may be modified to explain that the total of the non-economic loss awards to the principal plaintiff and loss of consortium awards to the spouse cannot exceed $500,000.  If there is a separate $500,0</w:t>
      </w:r>
      <w:r>
        <w:rPr>
          <w:rFonts w:ascii="Bookman Old Style" w:hAnsi="Bookman Old Style"/>
          <w:spacing w:val="-3"/>
          <w:sz w:val="26"/>
        </w:rPr>
        <w:t>00 cap for the spouse’s loss of consortium claim (and possibly other non-economic loss claims by the spouse, such as claims for negligent infliction of emotional distress) a separate loss of consortium “cap” instruction may be necessary. This instruction c</w:t>
      </w:r>
      <w:r>
        <w:rPr>
          <w:rFonts w:ascii="Bookman Old Style" w:hAnsi="Bookman Old Style"/>
          <w:spacing w:val="-3"/>
          <w:sz w:val="26"/>
        </w:rPr>
        <w:t>ould follow the pattern of Instruction 20.07A.</w:t>
      </w:r>
    </w:p>
    <w:p w:rsidR="00000000" w:rsidRDefault="0083205C">
      <w:pPr>
        <w:tabs>
          <w:tab w:val="left" w:pos="-720"/>
          <w:tab w:val="left" w:pos="1440"/>
        </w:tabs>
        <w:suppressAutoHyphens/>
        <w:jc w:val="both"/>
        <w:rPr>
          <w:rFonts w:ascii="Bookman Old Style" w:hAnsi="Bookman Old Style"/>
          <w:spacing w:val="-3"/>
          <w:sz w:val="26"/>
        </w:rPr>
      </w:pPr>
    </w:p>
    <w:p w:rsidR="00000000" w:rsidRDefault="0083205C">
      <w:pPr>
        <w:tabs>
          <w:tab w:val="left" w:pos="-720"/>
          <w:tab w:val="left" w:pos="1440"/>
        </w:tabs>
        <w:suppressAutoHyphens/>
        <w:jc w:val="both"/>
        <w:rPr>
          <w:rFonts w:ascii="Bookman Old Style" w:hAnsi="Bookman Old Style"/>
          <w:spacing w:val="-3"/>
          <w:sz w:val="26"/>
        </w:rPr>
      </w:pPr>
      <w:r>
        <w:rPr>
          <w:rFonts w:ascii="Bookman Old Style" w:hAnsi="Bookman Old Style"/>
          <w:spacing w:val="-3"/>
          <w:sz w:val="26"/>
        </w:rPr>
        <w:t>The list of elements included as part of a consortium award may be expanded depending on the evidence.  In some jurisdictions “loss of enjoyment of sexual relations or ability to have children” are specifical</w:t>
      </w:r>
      <w:r>
        <w:rPr>
          <w:rFonts w:ascii="Bookman Old Style" w:hAnsi="Bookman Old Style"/>
          <w:spacing w:val="-3"/>
          <w:sz w:val="26"/>
        </w:rPr>
        <w:t xml:space="preserve">ly mentioned.  </w:t>
      </w:r>
      <w:r>
        <w:rPr>
          <w:rFonts w:ascii="Bookman Old Style" w:hAnsi="Bookman Old Style"/>
          <w:spacing w:val="-3"/>
          <w:sz w:val="26"/>
          <w:u w:val="single"/>
        </w:rPr>
        <w:t>See</w:t>
      </w:r>
      <w:r>
        <w:rPr>
          <w:rFonts w:ascii="Bookman Old Style" w:hAnsi="Bookman Old Style"/>
          <w:spacing w:val="-3"/>
          <w:sz w:val="26"/>
        </w:rPr>
        <w:t xml:space="preserve"> Calif. Jury Instructions § 14.40 (6</w:t>
      </w:r>
      <w:r>
        <w:rPr>
          <w:rFonts w:ascii="Bookman Old Style" w:hAnsi="Bookman Old Style"/>
          <w:spacing w:val="-3"/>
          <w:sz w:val="26"/>
          <w:vertAlign w:val="superscript"/>
        </w:rPr>
        <w:t>th</w:t>
      </w:r>
      <w:r>
        <w:rPr>
          <w:rFonts w:ascii="Bookman Old Style" w:hAnsi="Bookman Old Style"/>
          <w:spacing w:val="-3"/>
          <w:sz w:val="26"/>
        </w:rPr>
        <w:t xml:space="preserve"> Ed. 1977).</w:t>
      </w:r>
    </w:p>
    <w:p w:rsidR="00000000" w:rsidRDefault="0083205C">
      <w:pPr>
        <w:tabs>
          <w:tab w:val="left" w:pos="-720"/>
          <w:tab w:val="left" w:pos="1440"/>
        </w:tabs>
        <w:suppressAutoHyphens/>
        <w:jc w:val="both"/>
        <w:rPr>
          <w:rFonts w:ascii="Bookman Old Style" w:hAnsi="Bookman Old Style"/>
          <w:spacing w:val="-3"/>
          <w:sz w:val="26"/>
        </w:rPr>
      </w:pPr>
    </w:p>
    <w:p w:rsidR="00000000" w:rsidRDefault="0083205C">
      <w:pPr>
        <w:tabs>
          <w:tab w:val="left" w:pos="-720"/>
          <w:tab w:val="left" w:pos="1440"/>
        </w:tabs>
        <w:suppressAutoHyphens/>
        <w:jc w:val="both"/>
        <w:rPr>
          <w:rFonts w:ascii="Bookman Old Style" w:hAnsi="Bookman Old Style"/>
          <w:spacing w:val="-3"/>
          <w:sz w:val="26"/>
        </w:rPr>
      </w:pPr>
      <w:r>
        <w:rPr>
          <w:rFonts w:ascii="Bookman Old Style" w:hAnsi="Bookman Old Style"/>
          <w:spacing w:val="-3"/>
          <w:sz w:val="26"/>
        </w:rPr>
        <w:lastRenderedPageBreak/>
        <w:t xml:space="preserve">The list of potential areas of double compensation may be expanded if evidence suggests it will be a problem.  </w:t>
      </w:r>
      <w:r>
        <w:rPr>
          <w:rFonts w:ascii="Bookman Old Style" w:hAnsi="Bookman Old Style"/>
          <w:spacing w:val="-3"/>
          <w:sz w:val="26"/>
          <w:u w:val="single"/>
        </w:rPr>
        <w:t>See</w:t>
      </w:r>
      <w:r>
        <w:rPr>
          <w:rFonts w:ascii="Bookman Old Style" w:hAnsi="Bookman Old Style"/>
          <w:spacing w:val="-3"/>
          <w:sz w:val="26"/>
        </w:rPr>
        <w:t xml:space="preserve">, </w:t>
      </w:r>
      <w:r>
        <w:rPr>
          <w:rFonts w:ascii="Bookman Old Style" w:hAnsi="Bookman Old Style"/>
          <w:spacing w:val="-3"/>
          <w:sz w:val="26"/>
          <w:u w:val="single"/>
        </w:rPr>
        <w:t>e.g.</w:t>
      </w:r>
      <w:r>
        <w:rPr>
          <w:rFonts w:ascii="Bookman Old Style" w:hAnsi="Bookman Old Style"/>
          <w:spacing w:val="-3"/>
          <w:sz w:val="26"/>
        </w:rPr>
        <w:t>, Calif. Jury Instructions § 14.40 (6</w:t>
      </w:r>
      <w:r>
        <w:rPr>
          <w:rFonts w:ascii="Bookman Old Style" w:hAnsi="Bookman Old Style"/>
          <w:spacing w:val="-3"/>
          <w:sz w:val="26"/>
          <w:vertAlign w:val="superscript"/>
        </w:rPr>
        <w:t>th</w:t>
      </w:r>
      <w:r>
        <w:rPr>
          <w:rFonts w:ascii="Bookman Old Style" w:hAnsi="Bookman Old Style"/>
          <w:spacing w:val="-3"/>
          <w:sz w:val="26"/>
        </w:rPr>
        <w:t xml:space="preserve"> Ed. 1977).</w:t>
      </w:r>
    </w:p>
    <w:p w:rsidR="00000000" w:rsidRDefault="0083205C">
      <w:pPr>
        <w:tabs>
          <w:tab w:val="left" w:pos="-720"/>
          <w:tab w:val="left" w:pos="1440"/>
        </w:tabs>
        <w:suppressAutoHyphens/>
        <w:jc w:val="both"/>
        <w:rPr>
          <w:rFonts w:ascii="Bookman Old Style" w:hAnsi="Bookman Old Style"/>
          <w:spacing w:val="-3"/>
          <w:sz w:val="26"/>
        </w:rPr>
      </w:pPr>
    </w:p>
    <w:p w:rsidR="00000000" w:rsidRDefault="0083205C">
      <w:pPr>
        <w:pStyle w:val="Heading1"/>
        <w:spacing w:line="240" w:lineRule="auto"/>
        <w:rPr>
          <w:rFonts w:ascii="Bookman Old Style" w:hAnsi="Bookman Old Style"/>
          <w:sz w:val="26"/>
        </w:rPr>
      </w:pPr>
      <w:r>
        <w:rPr>
          <w:rFonts w:ascii="Bookman Old Style" w:hAnsi="Bookman Old Style"/>
          <w:sz w:val="26"/>
        </w:rPr>
        <w:t>Comment</w:t>
      </w:r>
    </w:p>
    <w:p w:rsidR="00000000" w:rsidRDefault="0083205C">
      <w:pPr>
        <w:tabs>
          <w:tab w:val="left" w:pos="-720"/>
          <w:tab w:val="left" w:pos="1440"/>
        </w:tabs>
        <w:suppressAutoHyphens/>
        <w:jc w:val="center"/>
        <w:rPr>
          <w:rFonts w:ascii="Bookman Old Style" w:hAnsi="Bookman Old Style"/>
          <w:spacing w:val="-3"/>
          <w:sz w:val="26"/>
        </w:rPr>
      </w:pPr>
    </w:p>
    <w:p w:rsidR="00000000" w:rsidRDefault="0083205C">
      <w:pPr>
        <w:tabs>
          <w:tab w:val="left" w:pos="-720"/>
          <w:tab w:val="left" w:pos="1440"/>
        </w:tabs>
        <w:suppressAutoHyphens/>
        <w:jc w:val="both"/>
        <w:rPr>
          <w:rFonts w:ascii="Bookman Old Style" w:hAnsi="Bookman Old Style"/>
          <w:spacing w:val="-3"/>
          <w:sz w:val="26"/>
        </w:rPr>
      </w:pPr>
      <w:r>
        <w:rPr>
          <w:rFonts w:ascii="Bookman Old Style" w:hAnsi="Bookman Old Style"/>
          <w:spacing w:val="-3"/>
          <w:sz w:val="26"/>
        </w:rPr>
        <w:t>A pers</w:t>
      </w:r>
      <w:r>
        <w:rPr>
          <w:rFonts w:ascii="Bookman Old Style" w:hAnsi="Bookman Old Style"/>
          <w:spacing w:val="-3"/>
          <w:sz w:val="26"/>
        </w:rPr>
        <w:t xml:space="preserve">on has a cause of action for loss of consortium arising out of an injury to his or her spouse.  </w:t>
      </w:r>
      <w:r>
        <w:rPr>
          <w:rFonts w:ascii="Bookman Old Style" w:hAnsi="Bookman Old Style"/>
          <w:spacing w:val="-3"/>
          <w:sz w:val="26"/>
          <w:u w:val="single"/>
        </w:rPr>
        <w:t>Schreiner v. Fruit</w:t>
      </w:r>
      <w:r>
        <w:rPr>
          <w:rFonts w:ascii="Bookman Old Style" w:hAnsi="Bookman Old Style"/>
          <w:spacing w:val="-3"/>
          <w:sz w:val="26"/>
        </w:rPr>
        <w:t>, 519 P.2d 462, 466 (Alaska 1974).  Except in special cases in which it is impossible for the parties to bring suit together, joinder of the c</w:t>
      </w:r>
      <w:r>
        <w:rPr>
          <w:rFonts w:ascii="Bookman Old Style" w:hAnsi="Bookman Old Style"/>
          <w:spacing w:val="-3"/>
          <w:sz w:val="26"/>
        </w:rPr>
        <w:t xml:space="preserve">laims is mandatory.  </w:t>
      </w:r>
      <w:r>
        <w:rPr>
          <w:rFonts w:ascii="Bookman Old Style" w:hAnsi="Bookman Old Style"/>
          <w:spacing w:val="-3"/>
          <w:sz w:val="26"/>
          <w:u w:val="single"/>
        </w:rPr>
        <w:t>Id</w:t>
      </w:r>
      <w:r>
        <w:rPr>
          <w:rFonts w:ascii="Bookman Old Style" w:hAnsi="Bookman Old Style"/>
          <w:spacing w:val="-3"/>
          <w:sz w:val="26"/>
        </w:rPr>
        <w:t xml:space="preserve">.  The Alaska Supreme Court has approved awards of damages for loss of spousal consortium in a number of cases.  </w:t>
      </w:r>
      <w:r>
        <w:rPr>
          <w:rFonts w:ascii="Bookman Old Style" w:hAnsi="Bookman Old Style"/>
          <w:spacing w:val="-3"/>
          <w:sz w:val="26"/>
          <w:u w:val="single"/>
        </w:rPr>
        <w:t>See</w:t>
      </w:r>
      <w:r>
        <w:rPr>
          <w:rFonts w:ascii="Bookman Old Style" w:hAnsi="Bookman Old Style"/>
          <w:spacing w:val="-3"/>
          <w:sz w:val="26"/>
        </w:rPr>
        <w:t xml:space="preserve">, </w:t>
      </w:r>
      <w:r>
        <w:rPr>
          <w:rFonts w:ascii="Bookman Old Style" w:hAnsi="Bookman Old Style"/>
          <w:spacing w:val="-3"/>
          <w:sz w:val="26"/>
          <w:u w:val="single"/>
        </w:rPr>
        <w:t>e.g.,</w:t>
      </w:r>
      <w:r>
        <w:rPr>
          <w:rFonts w:ascii="Bookman Old Style" w:hAnsi="Bookman Old Style"/>
          <w:spacing w:val="-3"/>
          <w:sz w:val="26"/>
        </w:rPr>
        <w:t xml:space="preserve"> </w:t>
      </w:r>
      <w:r>
        <w:rPr>
          <w:rFonts w:ascii="Bookman Old Style" w:hAnsi="Bookman Old Style"/>
          <w:spacing w:val="-3"/>
          <w:sz w:val="26"/>
          <w:u w:val="single"/>
        </w:rPr>
        <w:t>Jakoski v. Holland</w:t>
      </w:r>
      <w:r>
        <w:rPr>
          <w:rFonts w:ascii="Bookman Old Style" w:hAnsi="Bookman Old Style"/>
          <w:spacing w:val="-3"/>
          <w:sz w:val="26"/>
        </w:rPr>
        <w:t xml:space="preserve">, 520 P.2d 569, 571 (Alaska 1974); </w:t>
      </w:r>
      <w:r>
        <w:rPr>
          <w:rFonts w:ascii="Bookman Old Style" w:hAnsi="Bookman Old Style"/>
          <w:spacing w:val="-3"/>
          <w:sz w:val="26"/>
          <w:u w:val="single"/>
        </w:rPr>
        <w:t>Grasle Electric Company v. Clark</w:t>
      </w:r>
      <w:r>
        <w:rPr>
          <w:rFonts w:ascii="Bookman Old Style" w:hAnsi="Bookman Old Style"/>
          <w:spacing w:val="-3"/>
          <w:sz w:val="26"/>
        </w:rPr>
        <w:t>, 525 P.2d 1081, 1085 (A</w:t>
      </w:r>
      <w:r>
        <w:rPr>
          <w:rFonts w:ascii="Bookman Old Style" w:hAnsi="Bookman Old Style"/>
          <w:spacing w:val="-3"/>
          <w:sz w:val="26"/>
        </w:rPr>
        <w:t xml:space="preserve">laska 1974); </w:t>
      </w:r>
      <w:r>
        <w:rPr>
          <w:rFonts w:ascii="Bookman Old Style" w:hAnsi="Bookman Old Style"/>
          <w:spacing w:val="-3"/>
          <w:sz w:val="26"/>
          <w:u w:val="single"/>
        </w:rPr>
        <w:t>Bemis v. Bertram</w:t>
      </w:r>
      <w:r>
        <w:rPr>
          <w:rFonts w:ascii="Bookman Old Style" w:hAnsi="Bookman Old Style"/>
          <w:spacing w:val="-3"/>
          <w:sz w:val="26"/>
        </w:rPr>
        <w:t xml:space="preserve">, 532 P.2d 1012, 1013 (Alaska 1975); </w:t>
      </w:r>
      <w:r>
        <w:rPr>
          <w:rFonts w:ascii="Bookman Old Style" w:hAnsi="Bookman Old Style"/>
          <w:spacing w:val="-3"/>
          <w:sz w:val="26"/>
          <w:u w:val="single"/>
        </w:rPr>
        <w:t>Yukon Equipment, Inc. v. Gordon</w:t>
      </w:r>
      <w:r>
        <w:rPr>
          <w:rFonts w:ascii="Bookman Old Style" w:hAnsi="Bookman Old Style"/>
          <w:spacing w:val="-3"/>
          <w:sz w:val="26"/>
        </w:rPr>
        <w:t>, 660 P.2d 428, 435 (Alaska 1982).</w:t>
      </w:r>
    </w:p>
    <w:p w:rsidR="00000000" w:rsidRDefault="0083205C">
      <w:pPr>
        <w:tabs>
          <w:tab w:val="left" w:pos="-720"/>
          <w:tab w:val="left" w:pos="1440"/>
        </w:tabs>
        <w:suppressAutoHyphens/>
        <w:jc w:val="both"/>
        <w:rPr>
          <w:rFonts w:ascii="Bookman Old Style" w:hAnsi="Bookman Old Style"/>
          <w:spacing w:val="-3"/>
          <w:sz w:val="26"/>
        </w:rPr>
      </w:pPr>
    </w:p>
    <w:p w:rsidR="00000000" w:rsidRDefault="0083205C">
      <w:pPr>
        <w:tabs>
          <w:tab w:val="left" w:pos="-720"/>
          <w:tab w:val="left" w:pos="1440"/>
        </w:tabs>
        <w:suppressAutoHyphens/>
        <w:jc w:val="both"/>
        <w:rPr>
          <w:rFonts w:ascii="Bookman Old Style" w:hAnsi="Bookman Old Style"/>
          <w:spacing w:val="-3"/>
          <w:sz w:val="26"/>
        </w:rPr>
      </w:pPr>
      <w:r>
        <w:rPr>
          <w:rFonts w:ascii="Bookman Old Style" w:hAnsi="Bookman Old Style"/>
          <w:spacing w:val="-3"/>
          <w:sz w:val="26"/>
        </w:rPr>
        <w:t>The court has approved the giving of two separate instructions on damages for loss of consortium – the first instruction de</w:t>
      </w:r>
      <w:r>
        <w:rPr>
          <w:rFonts w:ascii="Bookman Old Style" w:hAnsi="Bookman Old Style"/>
          <w:spacing w:val="-3"/>
          <w:sz w:val="26"/>
        </w:rPr>
        <w:t xml:space="preserve">fining “consortium damages” and the second detailing how to evaluate in dollars the concepts of “society, companionship and conjugal relationship.”  </w:t>
      </w:r>
      <w:r>
        <w:rPr>
          <w:rFonts w:ascii="Bookman Old Style" w:hAnsi="Bookman Old Style"/>
          <w:spacing w:val="-3"/>
          <w:sz w:val="26"/>
          <w:u w:val="single"/>
        </w:rPr>
        <w:t>Grasle Electric Company v. Clark</w:t>
      </w:r>
      <w:r>
        <w:rPr>
          <w:rFonts w:ascii="Bookman Old Style" w:hAnsi="Bookman Old Style"/>
          <w:spacing w:val="-3"/>
          <w:sz w:val="26"/>
        </w:rPr>
        <w:t>, 525 P.2d 1081, 1085 (Alaska 1974).</w:t>
      </w:r>
    </w:p>
    <w:p w:rsidR="00000000" w:rsidRDefault="0083205C">
      <w:pPr>
        <w:tabs>
          <w:tab w:val="left" w:pos="-720"/>
          <w:tab w:val="left" w:pos="1440"/>
        </w:tabs>
        <w:suppressAutoHyphens/>
        <w:jc w:val="both"/>
        <w:rPr>
          <w:rFonts w:ascii="Bookman Old Style" w:hAnsi="Bookman Old Style"/>
          <w:spacing w:val="-3"/>
          <w:sz w:val="26"/>
        </w:rPr>
      </w:pPr>
    </w:p>
    <w:p w:rsidR="00000000" w:rsidRDefault="0083205C">
      <w:pPr>
        <w:tabs>
          <w:tab w:val="left" w:pos="-720"/>
          <w:tab w:val="left" w:pos="1440"/>
        </w:tabs>
        <w:suppressAutoHyphens/>
        <w:jc w:val="both"/>
        <w:rPr>
          <w:rFonts w:ascii="Bookman Old Style" w:hAnsi="Bookman Old Style"/>
          <w:spacing w:val="-3"/>
          <w:sz w:val="26"/>
        </w:rPr>
      </w:pPr>
      <w:r>
        <w:rPr>
          <w:rFonts w:ascii="Bookman Old Style" w:hAnsi="Bookman Old Style"/>
          <w:spacing w:val="-3"/>
          <w:sz w:val="26"/>
        </w:rPr>
        <w:t xml:space="preserve">The spouse seeking an award for loss </w:t>
      </w:r>
      <w:r>
        <w:rPr>
          <w:rFonts w:ascii="Bookman Old Style" w:hAnsi="Bookman Old Style"/>
          <w:spacing w:val="-3"/>
          <w:sz w:val="26"/>
        </w:rPr>
        <w:t xml:space="preserve">of consortium is not required to testify in order to sustain the claim.  Where there is sufficient evidence from other sources to support a claim for loss of consortium, it is reversible error not to submit the loss of consortium claim to the jury.  </w:t>
      </w:r>
      <w:r>
        <w:rPr>
          <w:rFonts w:ascii="Bookman Old Style" w:hAnsi="Bookman Old Style"/>
          <w:spacing w:val="-3"/>
          <w:sz w:val="26"/>
          <w:u w:val="single"/>
        </w:rPr>
        <w:t>Ruther</w:t>
      </w:r>
      <w:r>
        <w:rPr>
          <w:rFonts w:ascii="Bookman Old Style" w:hAnsi="Bookman Old Style"/>
          <w:spacing w:val="-3"/>
          <w:sz w:val="26"/>
          <w:u w:val="single"/>
        </w:rPr>
        <w:t>ford v. State</w:t>
      </w:r>
      <w:r>
        <w:rPr>
          <w:rFonts w:ascii="Bookman Old Style" w:hAnsi="Bookman Old Style"/>
          <w:spacing w:val="-3"/>
          <w:sz w:val="26"/>
        </w:rPr>
        <w:t>, 605 P.2d 16, 25-26 (Alaska 1979).</w:t>
      </w:r>
    </w:p>
    <w:p w:rsidR="00000000" w:rsidRDefault="0083205C">
      <w:pPr>
        <w:tabs>
          <w:tab w:val="left" w:pos="-720"/>
          <w:tab w:val="left" w:pos="1440"/>
        </w:tabs>
        <w:suppressAutoHyphens/>
        <w:jc w:val="both"/>
        <w:rPr>
          <w:rFonts w:ascii="Bookman Old Style" w:hAnsi="Bookman Old Style"/>
          <w:spacing w:val="-3"/>
          <w:sz w:val="26"/>
        </w:rPr>
      </w:pPr>
    </w:p>
    <w:p w:rsidR="00000000" w:rsidRDefault="0083205C">
      <w:pPr>
        <w:tabs>
          <w:tab w:val="left" w:pos="-720"/>
          <w:tab w:val="left" w:pos="1440"/>
        </w:tabs>
        <w:suppressAutoHyphens/>
        <w:jc w:val="both"/>
        <w:rPr>
          <w:rFonts w:ascii="Bookman Old Style" w:hAnsi="Bookman Old Style"/>
          <w:spacing w:val="-3"/>
          <w:sz w:val="26"/>
        </w:rPr>
      </w:pPr>
      <w:r>
        <w:rPr>
          <w:rFonts w:ascii="Bookman Old Style" w:hAnsi="Bookman Old Style"/>
          <w:spacing w:val="-3"/>
          <w:sz w:val="26"/>
        </w:rPr>
        <w:t xml:space="preserve">In </w:t>
      </w:r>
      <w:r>
        <w:rPr>
          <w:rFonts w:ascii="Bookman Old Style" w:hAnsi="Bookman Old Style"/>
          <w:spacing w:val="-3"/>
          <w:sz w:val="26"/>
          <w:u w:val="single"/>
        </w:rPr>
        <w:t>City of Fairbanks v. Smith</w:t>
      </w:r>
      <w:r>
        <w:rPr>
          <w:rFonts w:ascii="Bookman Old Style" w:hAnsi="Bookman Old Style"/>
          <w:spacing w:val="-3"/>
          <w:sz w:val="26"/>
        </w:rPr>
        <w:t xml:space="preserve">, 525 P.2d 1095 (Alaska 1974), the wife of the injured plaintiff sought damages for loss of consortium.  The jury returned a verdict of $77,000 in damages for the plaintiff but </w:t>
      </w:r>
      <w:r>
        <w:rPr>
          <w:rFonts w:ascii="Bookman Old Style" w:hAnsi="Bookman Old Style"/>
          <w:spacing w:val="-3"/>
          <w:sz w:val="26"/>
        </w:rPr>
        <w:t xml:space="preserve">$0 damages for the wife.  The judgment was challenged as inconsistent but the court found no error.  </w:t>
      </w:r>
      <w:r>
        <w:rPr>
          <w:rFonts w:ascii="Bookman Old Style" w:hAnsi="Bookman Old Style"/>
          <w:spacing w:val="-3"/>
          <w:sz w:val="26"/>
          <w:u w:val="single"/>
        </w:rPr>
        <w:t>Id</w:t>
      </w:r>
      <w:r>
        <w:rPr>
          <w:rFonts w:ascii="Bookman Old Style" w:hAnsi="Bookman Old Style"/>
          <w:spacing w:val="-3"/>
          <w:sz w:val="26"/>
        </w:rPr>
        <w:t xml:space="preserve">. at 1096-98.  </w:t>
      </w:r>
      <w:r>
        <w:rPr>
          <w:rFonts w:ascii="Bookman Old Style" w:hAnsi="Bookman Old Style"/>
          <w:spacing w:val="-3"/>
          <w:sz w:val="26"/>
          <w:u w:val="single"/>
        </w:rPr>
        <w:t>See</w:t>
      </w:r>
      <w:r>
        <w:rPr>
          <w:rFonts w:ascii="Bookman Old Style" w:hAnsi="Bookman Old Style"/>
          <w:spacing w:val="-3"/>
          <w:sz w:val="26"/>
        </w:rPr>
        <w:t xml:space="preserve"> </w:t>
      </w:r>
      <w:r>
        <w:rPr>
          <w:rFonts w:ascii="Bookman Old Style" w:hAnsi="Bookman Old Style"/>
          <w:spacing w:val="-3"/>
          <w:sz w:val="26"/>
          <w:u w:val="single"/>
        </w:rPr>
        <w:t>also</w:t>
      </w:r>
      <w:r>
        <w:rPr>
          <w:rFonts w:ascii="Bookman Old Style" w:hAnsi="Bookman Old Style"/>
          <w:spacing w:val="-3"/>
          <w:sz w:val="26"/>
        </w:rPr>
        <w:t xml:space="preserve"> </w:t>
      </w:r>
      <w:r>
        <w:rPr>
          <w:rFonts w:ascii="Bookman Old Style" w:hAnsi="Bookman Old Style"/>
          <w:spacing w:val="-3"/>
          <w:sz w:val="26"/>
          <w:u w:val="single"/>
        </w:rPr>
        <w:t>Hayes v. Xerox Corp.</w:t>
      </w:r>
      <w:r>
        <w:rPr>
          <w:rFonts w:ascii="Bookman Old Style" w:hAnsi="Bookman Old Style"/>
          <w:spacing w:val="-3"/>
          <w:sz w:val="26"/>
        </w:rPr>
        <w:t xml:space="preserve">, 718 P.2d 929 (Alaska 1986); </w:t>
      </w:r>
      <w:r>
        <w:rPr>
          <w:rFonts w:ascii="Bookman Old Style" w:hAnsi="Bookman Old Style"/>
          <w:spacing w:val="-3"/>
          <w:sz w:val="26"/>
          <w:u w:val="single"/>
        </w:rPr>
        <w:t>Buoy v. ERA Helicopters, Inc.</w:t>
      </w:r>
      <w:r>
        <w:rPr>
          <w:rFonts w:ascii="Bookman Old Style" w:hAnsi="Bookman Old Style"/>
          <w:spacing w:val="-3"/>
          <w:sz w:val="26"/>
        </w:rPr>
        <w:t>, 771 P.2d 439 (Alaska 1989).</w:t>
      </w:r>
    </w:p>
    <w:p w:rsidR="00000000" w:rsidRDefault="0083205C">
      <w:pPr>
        <w:tabs>
          <w:tab w:val="left" w:pos="-720"/>
          <w:tab w:val="left" w:pos="1440"/>
        </w:tabs>
        <w:suppressAutoHyphens/>
        <w:jc w:val="both"/>
        <w:rPr>
          <w:rFonts w:ascii="Bookman Old Style" w:hAnsi="Bookman Old Style"/>
          <w:spacing w:val="-3"/>
          <w:sz w:val="26"/>
        </w:rPr>
      </w:pPr>
    </w:p>
    <w:p w:rsidR="00000000" w:rsidRDefault="0083205C">
      <w:pPr>
        <w:tabs>
          <w:tab w:val="left" w:pos="-720"/>
          <w:tab w:val="left" w:pos="1440"/>
        </w:tabs>
        <w:suppressAutoHyphens/>
        <w:jc w:val="both"/>
        <w:rPr>
          <w:rFonts w:ascii="Bookman Old Style" w:hAnsi="Bookman Old Style"/>
          <w:spacing w:val="-3"/>
          <w:sz w:val="26"/>
        </w:rPr>
      </w:pPr>
      <w:r>
        <w:rPr>
          <w:rFonts w:ascii="Bookman Old Style" w:hAnsi="Bookman Old Style"/>
          <w:spacing w:val="-3"/>
          <w:sz w:val="26"/>
          <w:u w:val="single"/>
        </w:rPr>
        <w:t>Eggert v. Working</w:t>
      </w:r>
      <w:r>
        <w:rPr>
          <w:rFonts w:ascii="Bookman Old Style" w:hAnsi="Bookman Old Style"/>
          <w:spacing w:val="-3"/>
          <w:sz w:val="26"/>
        </w:rPr>
        <w:t xml:space="preserve">, </w:t>
      </w:r>
      <w:r>
        <w:rPr>
          <w:rFonts w:ascii="Bookman Old Style" w:hAnsi="Bookman Old Style"/>
          <w:spacing w:val="-3"/>
          <w:sz w:val="26"/>
        </w:rPr>
        <w:t>599 P.2d 1389 (Alaska 1979) held that a wife’s consortium claim must be reduced by the percentage of comparative fault attributable to the husband.  In such a case, the verdict forms should provide for this reduction.</w:t>
      </w:r>
    </w:p>
    <w:p w:rsidR="00000000" w:rsidRDefault="0083205C">
      <w:pPr>
        <w:tabs>
          <w:tab w:val="left" w:pos="-720"/>
          <w:tab w:val="left" w:pos="1440"/>
        </w:tabs>
        <w:suppressAutoHyphens/>
        <w:jc w:val="both"/>
        <w:rPr>
          <w:rFonts w:ascii="Bookman Old Style" w:hAnsi="Bookman Old Style"/>
          <w:spacing w:val="-3"/>
          <w:sz w:val="26"/>
        </w:rPr>
      </w:pPr>
    </w:p>
    <w:sectPr w:rsidR="00000000">
      <w:footerReference w:type="default" r:id="rId7"/>
      <w:endnotePr>
        <w:numFmt w:val="decimal"/>
      </w:endnotePr>
      <w:pgSz w:w="12240" w:h="15840" w:code="1"/>
      <w:pgMar w:top="1440" w:right="1440" w:bottom="1440" w:left="1440" w:header="720" w:footer="720"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3205C">
      <w:pPr>
        <w:spacing w:line="20" w:lineRule="exact"/>
      </w:pPr>
    </w:p>
  </w:endnote>
  <w:endnote w:type="continuationSeparator" w:id="0">
    <w:p w:rsidR="00000000" w:rsidRDefault="0083205C">
      <w:r>
        <w:t xml:space="preserve"> </w:t>
      </w:r>
    </w:p>
  </w:endnote>
  <w:endnote w:type="continuationNotice" w:id="1">
    <w:p w:rsidR="00000000" w:rsidRDefault="0083205C">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G Times (PCL6)">
    <w:panose1 w:val="00000000000000000000"/>
    <w:charset w:val="00"/>
    <w:family w:val="roman"/>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3205C">
    <w:pPr>
      <w:tabs>
        <w:tab w:val="left" w:pos="-720"/>
        <w:tab w:val="right" w:pos="9270"/>
      </w:tabs>
      <w:suppressAutoHyphens/>
      <w:jc w:val="both"/>
      <w:rPr>
        <w:rFonts w:ascii="Bookman Old Style" w:hAnsi="Bookman Old Style"/>
        <w:spacing w:val="-3"/>
        <w:sz w:val="26"/>
      </w:rPr>
    </w:pPr>
    <w:r>
      <w:rPr>
        <w:rFonts w:ascii="Bookman Old Style" w:hAnsi="Bookman Old Style"/>
        <w:spacing w:val="-3"/>
        <w:sz w:val="26"/>
      </w:rPr>
      <w:t>Revised 1990</w:t>
    </w:r>
    <w:r>
      <w:rPr>
        <w:rFonts w:ascii="Bookman Old Style" w:hAnsi="Bookman Old Style"/>
        <w:spacing w:val="-3"/>
        <w:sz w:val="26"/>
      </w:rPr>
      <w:tab/>
      <w:t xml:space="preserve">20.08 - </w:t>
    </w:r>
    <w:r>
      <w:rPr>
        <w:rStyle w:val="PageNumber"/>
        <w:rFonts w:ascii="Bookman Old Style" w:hAnsi="Bookman Old Style"/>
        <w:sz w:val="26"/>
      </w:rPr>
      <w:fldChar w:fldCharType="begin"/>
    </w:r>
    <w:r>
      <w:rPr>
        <w:rStyle w:val="PageNumber"/>
        <w:rFonts w:ascii="Bookman Old Style" w:hAnsi="Bookman Old Style"/>
        <w:sz w:val="26"/>
      </w:rPr>
      <w:instrText xml:space="preserve"> PAG</w:instrText>
    </w:r>
    <w:r>
      <w:rPr>
        <w:rStyle w:val="PageNumber"/>
        <w:rFonts w:ascii="Bookman Old Style" w:hAnsi="Bookman Old Style"/>
        <w:sz w:val="26"/>
      </w:rPr>
      <w:instrText xml:space="preserve">E </w:instrText>
    </w:r>
    <w:r>
      <w:rPr>
        <w:rStyle w:val="PageNumber"/>
        <w:rFonts w:ascii="Bookman Old Style" w:hAnsi="Bookman Old Style"/>
        <w:sz w:val="26"/>
      </w:rPr>
      <w:fldChar w:fldCharType="separate"/>
    </w:r>
    <w:r w:rsidR="00A37859">
      <w:rPr>
        <w:rStyle w:val="PageNumber"/>
        <w:rFonts w:ascii="Bookman Old Style" w:hAnsi="Bookman Old Style"/>
        <w:noProof/>
        <w:sz w:val="26"/>
      </w:rPr>
      <w:t>1</w:t>
    </w:r>
    <w:r>
      <w:rPr>
        <w:rStyle w:val="PageNumber"/>
        <w:rFonts w:ascii="Bookman Old Style" w:hAnsi="Bookman Old Style"/>
        <w:sz w:val="2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3205C">
      <w:r>
        <w:separator/>
      </w:r>
    </w:p>
  </w:footnote>
  <w:footnote w:type="continuationSeparator" w:id="0">
    <w:p w:rsidR="00000000" w:rsidRDefault="0083205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bordersDoNotSurroundHeader/>
  <w:bordersDoNotSurroundFooter/>
  <w:defaultTabStop w:val="720"/>
  <w:hyphenationZone w:val="95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7859"/>
    <w:rsid w:val="0083205C"/>
    <w:rsid w:val="00A378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rFonts w:ascii="Courier" w:hAnsi="Courier"/>
      <w:snapToGrid w:val="0"/>
      <w:sz w:val="24"/>
    </w:rPr>
  </w:style>
  <w:style w:type="paragraph" w:styleId="Heading1">
    <w:name w:val="heading 1"/>
    <w:basedOn w:val="Normal"/>
    <w:next w:val="Normal"/>
    <w:qFormat/>
    <w:pPr>
      <w:keepNext/>
      <w:tabs>
        <w:tab w:val="left" w:pos="-720"/>
        <w:tab w:val="left" w:pos="1440"/>
      </w:tabs>
      <w:suppressAutoHyphens/>
      <w:spacing w:line="480" w:lineRule="auto"/>
      <w:jc w:val="center"/>
      <w:outlineLvl w:val="0"/>
    </w:pPr>
    <w:rPr>
      <w:rFonts w:ascii="CG Times (PCL6)" w:hAnsi="CG Times (PCL6)"/>
      <w:spacing w:val="-3"/>
      <w:u w:val="single"/>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character" w:styleId="EndnoteReference">
    <w:name w:val="endnote reference"/>
    <w:basedOn w:val="DefaultParagraphFont"/>
    <w:semiHidden/>
    <w:rPr>
      <w:vertAlign w:val="superscript"/>
    </w:rPr>
  </w:style>
  <w:style w:type="paragraph" w:styleId="FootnoteText">
    <w:name w:val="footnote text"/>
    <w:basedOn w:val="Normal"/>
    <w:semiHidden/>
  </w:style>
  <w:style w:type="character" w:styleId="FootnoteReference">
    <w:name w:val="footnote reference"/>
    <w:basedOn w:val="DefaultParagraphFont"/>
    <w:semiHidden/>
    <w:rPr>
      <w:vertAlign w:val="superscript"/>
    </w:rPr>
  </w:style>
  <w:style w:type="paragraph" w:styleId="TOC1">
    <w:name w:val="toc 1"/>
    <w:basedOn w:val="Normal"/>
    <w:next w:val="Normal"/>
    <w:autoRedefine/>
    <w:semiHidden/>
    <w:pPr>
      <w:tabs>
        <w:tab w:val="right" w:leader="dot" w:pos="9360"/>
      </w:tabs>
      <w:suppressAutoHyphens/>
      <w:spacing w:before="480"/>
      <w:ind w:left="720" w:right="720" w:hanging="720"/>
    </w:pPr>
  </w:style>
  <w:style w:type="paragraph" w:styleId="TOC2">
    <w:name w:val="toc 2"/>
    <w:basedOn w:val="Normal"/>
    <w:next w:val="Normal"/>
    <w:autoRedefine/>
    <w:semiHidden/>
    <w:pPr>
      <w:tabs>
        <w:tab w:val="right" w:leader="dot" w:pos="9360"/>
      </w:tabs>
      <w:suppressAutoHyphens/>
      <w:ind w:left="1440" w:right="720" w:hanging="720"/>
    </w:pPr>
  </w:style>
  <w:style w:type="paragraph" w:styleId="TOC3">
    <w:name w:val="toc 3"/>
    <w:basedOn w:val="Normal"/>
    <w:next w:val="Normal"/>
    <w:autoRedefine/>
    <w:semiHidden/>
    <w:pPr>
      <w:tabs>
        <w:tab w:val="right" w:leader="dot" w:pos="9360"/>
      </w:tabs>
      <w:suppressAutoHyphens/>
      <w:ind w:left="2160" w:right="720" w:hanging="720"/>
    </w:pPr>
  </w:style>
  <w:style w:type="paragraph" w:styleId="TOC4">
    <w:name w:val="toc 4"/>
    <w:basedOn w:val="Normal"/>
    <w:next w:val="Normal"/>
    <w:autoRedefine/>
    <w:semiHidden/>
    <w:pPr>
      <w:tabs>
        <w:tab w:val="right" w:leader="dot" w:pos="9360"/>
      </w:tabs>
      <w:suppressAutoHyphens/>
      <w:ind w:left="2880" w:right="720" w:hanging="720"/>
    </w:pPr>
  </w:style>
  <w:style w:type="paragraph" w:styleId="TOC5">
    <w:name w:val="toc 5"/>
    <w:basedOn w:val="Normal"/>
    <w:next w:val="Normal"/>
    <w:autoRedefine/>
    <w:semiHidden/>
    <w:pPr>
      <w:tabs>
        <w:tab w:val="right" w:leader="dot" w:pos="9360"/>
      </w:tabs>
      <w:suppressAutoHyphens/>
      <w:ind w:left="3600" w:right="720" w:hanging="720"/>
    </w:pPr>
  </w:style>
  <w:style w:type="paragraph" w:styleId="TOC6">
    <w:name w:val="toc 6"/>
    <w:basedOn w:val="Normal"/>
    <w:next w:val="Normal"/>
    <w:autoRedefine/>
    <w:semiHidden/>
    <w:pPr>
      <w:tabs>
        <w:tab w:val="right" w:pos="9360"/>
      </w:tabs>
      <w:suppressAutoHyphens/>
      <w:ind w:left="720" w:hanging="720"/>
    </w:pPr>
  </w:style>
  <w:style w:type="paragraph" w:styleId="TOC7">
    <w:name w:val="toc 7"/>
    <w:basedOn w:val="Normal"/>
    <w:next w:val="Normal"/>
    <w:autoRedefine/>
    <w:semiHidden/>
    <w:pPr>
      <w:suppressAutoHyphens/>
      <w:ind w:left="720" w:hanging="720"/>
    </w:pPr>
  </w:style>
  <w:style w:type="paragraph" w:styleId="TOC8">
    <w:name w:val="toc 8"/>
    <w:basedOn w:val="Normal"/>
    <w:next w:val="Normal"/>
    <w:autoRedefine/>
    <w:semiHidden/>
    <w:pPr>
      <w:tabs>
        <w:tab w:val="right" w:pos="9360"/>
      </w:tabs>
      <w:suppressAutoHyphens/>
      <w:ind w:left="720" w:hanging="720"/>
    </w:pPr>
  </w:style>
  <w:style w:type="paragraph" w:styleId="TOC9">
    <w:name w:val="toc 9"/>
    <w:basedOn w:val="Normal"/>
    <w:next w:val="Normal"/>
    <w:autoRedefine/>
    <w:semiHidden/>
    <w:pPr>
      <w:tabs>
        <w:tab w:val="right" w:leader="dot" w:pos="9360"/>
      </w:tabs>
      <w:suppressAutoHyphens/>
      <w:ind w:left="720" w:hanging="720"/>
    </w:pPr>
  </w:style>
  <w:style w:type="paragraph" w:styleId="Index1">
    <w:name w:val="index 1"/>
    <w:basedOn w:val="Normal"/>
    <w:next w:val="Normal"/>
    <w:autoRedefine/>
    <w:semiHidden/>
    <w:pPr>
      <w:tabs>
        <w:tab w:val="right" w:leader="dot" w:pos="9360"/>
      </w:tabs>
      <w:suppressAutoHyphens/>
      <w:ind w:left="1440" w:right="720" w:hanging="1440"/>
    </w:pPr>
  </w:style>
  <w:style w:type="paragraph" w:styleId="Index2">
    <w:name w:val="index 2"/>
    <w:basedOn w:val="Normal"/>
    <w:next w:val="Normal"/>
    <w:autoRedefine/>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style>
  <w:style w:type="character" w:customStyle="1" w:styleId="EquationCaption">
    <w:name w:val="_Equation Caption"/>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BodyText">
    <w:name w:val="Body Text"/>
    <w:basedOn w:val="Normal"/>
    <w:semiHidden/>
    <w:pPr>
      <w:tabs>
        <w:tab w:val="left" w:pos="-720"/>
        <w:tab w:val="left" w:pos="1440"/>
      </w:tabs>
      <w:suppressAutoHyphens/>
      <w:jc w:val="both"/>
    </w:pPr>
    <w:rPr>
      <w:rFonts w:ascii="CG Times (PCL6)" w:hAnsi="CG Times (PCL6)"/>
      <w:spacing w:val="-3"/>
    </w:rPr>
  </w:style>
  <w:style w:type="paragraph" w:styleId="BodyText2">
    <w:name w:val="Body Text 2"/>
    <w:basedOn w:val="Normal"/>
    <w:semiHidden/>
    <w:pPr>
      <w:tabs>
        <w:tab w:val="left" w:pos="-720"/>
        <w:tab w:val="left" w:pos="1440"/>
      </w:tabs>
      <w:suppressAutoHyphens/>
      <w:spacing w:line="360" w:lineRule="auto"/>
      <w:jc w:val="both"/>
    </w:pPr>
    <w:rPr>
      <w:rFonts w:ascii="Bookman Old Style" w:hAnsi="Bookman Old Style"/>
      <w:spacing w:val="-3"/>
      <w:sz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rFonts w:ascii="Courier" w:hAnsi="Courier"/>
      <w:snapToGrid w:val="0"/>
      <w:sz w:val="24"/>
    </w:rPr>
  </w:style>
  <w:style w:type="paragraph" w:styleId="Heading1">
    <w:name w:val="heading 1"/>
    <w:basedOn w:val="Normal"/>
    <w:next w:val="Normal"/>
    <w:qFormat/>
    <w:pPr>
      <w:keepNext/>
      <w:tabs>
        <w:tab w:val="left" w:pos="-720"/>
        <w:tab w:val="left" w:pos="1440"/>
      </w:tabs>
      <w:suppressAutoHyphens/>
      <w:spacing w:line="480" w:lineRule="auto"/>
      <w:jc w:val="center"/>
      <w:outlineLvl w:val="0"/>
    </w:pPr>
    <w:rPr>
      <w:rFonts w:ascii="CG Times (PCL6)" w:hAnsi="CG Times (PCL6)"/>
      <w:spacing w:val="-3"/>
      <w:u w:val="single"/>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character" w:styleId="EndnoteReference">
    <w:name w:val="endnote reference"/>
    <w:basedOn w:val="DefaultParagraphFont"/>
    <w:semiHidden/>
    <w:rPr>
      <w:vertAlign w:val="superscript"/>
    </w:rPr>
  </w:style>
  <w:style w:type="paragraph" w:styleId="FootnoteText">
    <w:name w:val="footnote text"/>
    <w:basedOn w:val="Normal"/>
    <w:semiHidden/>
  </w:style>
  <w:style w:type="character" w:styleId="FootnoteReference">
    <w:name w:val="footnote reference"/>
    <w:basedOn w:val="DefaultParagraphFont"/>
    <w:semiHidden/>
    <w:rPr>
      <w:vertAlign w:val="superscript"/>
    </w:rPr>
  </w:style>
  <w:style w:type="paragraph" w:styleId="TOC1">
    <w:name w:val="toc 1"/>
    <w:basedOn w:val="Normal"/>
    <w:next w:val="Normal"/>
    <w:autoRedefine/>
    <w:semiHidden/>
    <w:pPr>
      <w:tabs>
        <w:tab w:val="right" w:leader="dot" w:pos="9360"/>
      </w:tabs>
      <w:suppressAutoHyphens/>
      <w:spacing w:before="480"/>
      <w:ind w:left="720" w:right="720" w:hanging="720"/>
    </w:pPr>
  </w:style>
  <w:style w:type="paragraph" w:styleId="TOC2">
    <w:name w:val="toc 2"/>
    <w:basedOn w:val="Normal"/>
    <w:next w:val="Normal"/>
    <w:autoRedefine/>
    <w:semiHidden/>
    <w:pPr>
      <w:tabs>
        <w:tab w:val="right" w:leader="dot" w:pos="9360"/>
      </w:tabs>
      <w:suppressAutoHyphens/>
      <w:ind w:left="1440" w:right="720" w:hanging="720"/>
    </w:pPr>
  </w:style>
  <w:style w:type="paragraph" w:styleId="TOC3">
    <w:name w:val="toc 3"/>
    <w:basedOn w:val="Normal"/>
    <w:next w:val="Normal"/>
    <w:autoRedefine/>
    <w:semiHidden/>
    <w:pPr>
      <w:tabs>
        <w:tab w:val="right" w:leader="dot" w:pos="9360"/>
      </w:tabs>
      <w:suppressAutoHyphens/>
      <w:ind w:left="2160" w:right="720" w:hanging="720"/>
    </w:pPr>
  </w:style>
  <w:style w:type="paragraph" w:styleId="TOC4">
    <w:name w:val="toc 4"/>
    <w:basedOn w:val="Normal"/>
    <w:next w:val="Normal"/>
    <w:autoRedefine/>
    <w:semiHidden/>
    <w:pPr>
      <w:tabs>
        <w:tab w:val="right" w:leader="dot" w:pos="9360"/>
      </w:tabs>
      <w:suppressAutoHyphens/>
      <w:ind w:left="2880" w:right="720" w:hanging="720"/>
    </w:pPr>
  </w:style>
  <w:style w:type="paragraph" w:styleId="TOC5">
    <w:name w:val="toc 5"/>
    <w:basedOn w:val="Normal"/>
    <w:next w:val="Normal"/>
    <w:autoRedefine/>
    <w:semiHidden/>
    <w:pPr>
      <w:tabs>
        <w:tab w:val="right" w:leader="dot" w:pos="9360"/>
      </w:tabs>
      <w:suppressAutoHyphens/>
      <w:ind w:left="3600" w:right="720" w:hanging="720"/>
    </w:pPr>
  </w:style>
  <w:style w:type="paragraph" w:styleId="TOC6">
    <w:name w:val="toc 6"/>
    <w:basedOn w:val="Normal"/>
    <w:next w:val="Normal"/>
    <w:autoRedefine/>
    <w:semiHidden/>
    <w:pPr>
      <w:tabs>
        <w:tab w:val="right" w:pos="9360"/>
      </w:tabs>
      <w:suppressAutoHyphens/>
      <w:ind w:left="720" w:hanging="720"/>
    </w:pPr>
  </w:style>
  <w:style w:type="paragraph" w:styleId="TOC7">
    <w:name w:val="toc 7"/>
    <w:basedOn w:val="Normal"/>
    <w:next w:val="Normal"/>
    <w:autoRedefine/>
    <w:semiHidden/>
    <w:pPr>
      <w:suppressAutoHyphens/>
      <w:ind w:left="720" w:hanging="720"/>
    </w:pPr>
  </w:style>
  <w:style w:type="paragraph" w:styleId="TOC8">
    <w:name w:val="toc 8"/>
    <w:basedOn w:val="Normal"/>
    <w:next w:val="Normal"/>
    <w:autoRedefine/>
    <w:semiHidden/>
    <w:pPr>
      <w:tabs>
        <w:tab w:val="right" w:pos="9360"/>
      </w:tabs>
      <w:suppressAutoHyphens/>
      <w:ind w:left="720" w:hanging="720"/>
    </w:pPr>
  </w:style>
  <w:style w:type="paragraph" w:styleId="TOC9">
    <w:name w:val="toc 9"/>
    <w:basedOn w:val="Normal"/>
    <w:next w:val="Normal"/>
    <w:autoRedefine/>
    <w:semiHidden/>
    <w:pPr>
      <w:tabs>
        <w:tab w:val="right" w:leader="dot" w:pos="9360"/>
      </w:tabs>
      <w:suppressAutoHyphens/>
      <w:ind w:left="720" w:hanging="720"/>
    </w:pPr>
  </w:style>
  <w:style w:type="paragraph" w:styleId="Index1">
    <w:name w:val="index 1"/>
    <w:basedOn w:val="Normal"/>
    <w:next w:val="Normal"/>
    <w:autoRedefine/>
    <w:semiHidden/>
    <w:pPr>
      <w:tabs>
        <w:tab w:val="right" w:leader="dot" w:pos="9360"/>
      </w:tabs>
      <w:suppressAutoHyphens/>
      <w:ind w:left="1440" w:right="720" w:hanging="1440"/>
    </w:pPr>
  </w:style>
  <w:style w:type="paragraph" w:styleId="Index2">
    <w:name w:val="index 2"/>
    <w:basedOn w:val="Normal"/>
    <w:next w:val="Normal"/>
    <w:autoRedefine/>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style>
  <w:style w:type="character" w:customStyle="1" w:styleId="EquationCaption">
    <w:name w:val="_Equation Caption"/>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BodyText">
    <w:name w:val="Body Text"/>
    <w:basedOn w:val="Normal"/>
    <w:semiHidden/>
    <w:pPr>
      <w:tabs>
        <w:tab w:val="left" w:pos="-720"/>
        <w:tab w:val="left" w:pos="1440"/>
      </w:tabs>
      <w:suppressAutoHyphens/>
      <w:jc w:val="both"/>
    </w:pPr>
    <w:rPr>
      <w:rFonts w:ascii="CG Times (PCL6)" w:hAnsi="CG Times (PCL6)"/>
      <w:spacing w:val="-3"/>
    </w:rPr>
  </w:style>
  <w:style w:type="paragraph" w:styleId="BodyText2">
    <w:name w:val="Body Text 2"/>
    <w:basedOn w:val="Normal"/>
    <w:semiHidden/>
    <w:pPr>
      <w:tabs>
        <w:tab w:val="left" w:pos="-720"/>
        <w:tab w:val="left" w:pos="1440"/>
      </w:tabs>
      <w:suppressAutoHyphens/>
      <w:spacing w:line="360" w:lineRule="auto"/>
      <w:jc w:val="both"/>
    </w:pPr>
    <w:rPr>
      <w:rFonts w:ascii="Bookman Old Style" w:hAnsi="Bookman Old Style"/>
      <w:spacing w:val="-3"/>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949</Words>
  <Characters>5414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20</vt:lpstr>
    </vt:vector>
  </TitlesOfParts>
  <Company>Alaska Court System</Company>
  <LinksUpToDate>false</LinksUpToDate>
  <CharactersWithSpaces>6351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dc:title>
  <dc:subject/>
  <dc:creator>jlee</dc:creator>
  <cp:keywords/>
  <cp:lastModifiedBy>Michael Merrington</cp:lastModifiedBy>
  <cp:revision>3</cp:revision>
  <cp:lastPrinted>2000-08-24T22:32:00Z</cp:lastPrinted>
  <dcterms:created xsi:type="dcterms:W3CDTF">2017-04-04T18:51:00Z</dcterms:created>
  <dcterms:modified xsi:type="dcterms:W3CDTF">2017-04-04T18:51:00Z</dcterms:modified>
</cp:coreProperties>
</file>