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7B34">
      <w:pPr>
        <w:widowControl/>
        <w:tabs>
          <w:tab w:val="left" w:pos="-720"/>
          <w:tab w:val="left" w:pos="1440"/>
        </w:tabs>
        <w:suppressAutoHyphens/>
        <w:ind w:left="1440" w:hanging="1440"/>
        <w:jc w:val="both"/>
        <w:rPr>
          <w:rFonts w:ascii="Bookman Old Style" w:hAnsi="Bookman Old Style"/>
          <w:spacing w:val="-3"/>
          <w:sz w:val="26"/>
        </w:rPr>
      </w:pPr>
      <w:bookmarkStart w:id="0" w:name="_GoBack"/>
      <w:bookmarkEnd w:id="0"/>
      <w:r>
        <w:rPr>
          <w:rFonts w:ascii="Bookman Old Style" w:hAnsi="Bookman Old Style"/>
          <w:spacing w:val="-3"/>
          <w:sz w:val="26"/>
        </w:rPr>
        <w:t>20.11</w:t>
      </w:r>
      <w:r>
        <w:rPr>
          <w:rFonts w:ascii="Bookman Old Style" w:hAnsi="Bookman Old Style"/>
          <w:spacing w:val="-3"/>
          <w:sz w:val="26"/>
        </w:rPr>
        <w:tab/>
        <w:t>AGGRAVATION OF PRE-EXISTING CONDITION OR DISABILITY</w:t>
      </w:r>
    </w:p>
    <w:p w:rsidR="00000000" w:rsidRDefault="00447B34">
      <w:pPr>
        <w:widowControl/>
        <w:tabs>
          <w:tab w:val="left" w:pos="-720"/>
          <w:tab w:val="left" w:pos="1440"/>
        </w:tabs>
        <w:suppressAutoHyphens/>
        <w:spacing w:line="360" w:lineRule="auto"/>
        <w:jc w:val="both"/>
        <w:rPr>
          <w:rFonts w:ascii="Bookman Old Style" w:hAnsi="Bookman Old Style"/>
          <w:b/>
          <w:spacing w:val="-3"/>
          <w:sz w:val="26"/>
        </w:rPr>
      </w:pPr>
    </w:p>
    <w:p w:rsidR="00000000" w:rsidRDefault="00447B34">
      <w:pPr>
        <w:widowControl/>
        <w:tabs>
          <w:tab w:val="left" w:pos="-720"/>
          <w:tab w:val="left" w:pos="1440"/>
        </w:tabs>
        <w:suppressAutoHyphens/>
        <w:spacing w:line="360" w:lineRule="auto"/>
        <w:jc w:val="both"/>
        <w:rPr>
          <w:rFonts w:ascii="Bookman Old Style" w:hAnsi="Bookman Old Style"/>
          <w:spacing w:val="-3"/>
          <w:sz w:val="26"/>
        </w:rPr>
      </w:pPr>
    </w:p>
    <w:p w:rsidR="00000000" w:rsidRDefault="00447B34">
      <w:pPr>
        <w:widowControl/>
        <w:tabs>
          <w:tab w:val="left" w:pos="-720"/>
          <w:tab w:val="left" w:pos="1440"/>
        </w:tabs>
        <w:suppressAutoHyphens/>
        <w:spacing w:line="360" w:lineRule="auto"/>
        <w:jc w:val="both"/>
        <w:rPr>
          <w:rFonts w:ascii="Bookman Old Style" w:hAnsi="Bookman Old Style"/>
          <w:spacing w:val="-3"/>
          <w:sz w:val="26"/>
        </w:rPr>
      </w:pPr>
      <w:r>
        <w:rPr>
          <w:rFonts w:ascii="Bookman Old Style" w:hAnsi="Bookman Old Style"/>
          <w:spacing w:val="-3"/>
          <w:sz w:val="26"/>
        </w:rPr>
        <w:t xml:space="preserve">A person who has a condition or disability at the time of an injury cannot recover damages for that condition or disability.  However, (he) (she) is entitled to recover damages for an aggravation </w:t>
      </w:r>
      <w:r>
        <w:rPr>
          <w:rFonts w:ascii="Bookman Old Style" w:hAnsi="Bookman Old Style"/>
          <w:spacing w:val="-3"/>
          <w:sz w:val="26"/>
        </w:rPr>
        <w:t>of such pre-existing condition or disability if the aggravation is the legal result of the injury.</w:t>
      </w:r>
    </w:p>
    <w:p w:rsidR="00000000" w:rsidRDefault="00447B34">
      <w:pPr>
        <w:widowControl/>
        <w:tabs>
          <w:tab w:val="left" w:pos="-720"/>
          <w:tab w:val="left" w:pos="1440"/>
        </w:tabs>
        <w:suppressAutoHyphens/>
        <w:spacing w:line="360" w:lineRule="auto"/>
        <w:jc w:val="both"/>
        <w:rPr>
          <w:rFonts w:ascii="Bookman Old Style" w:hAnsi="Bookman Old Style"/>
          <w:spacing w:val="-3"/>
          <w:sz w:val="26"/>
        </w:rPr>
      </w:pPr>
    </w:p>
    <w:p w:rsidR="00000000" w:rsidRDefault="00447B34">
      <w:pPr>
        <w:widowControl/>
        <w:tabs>
          <w:tab w:val="left" w:pos="-720"/>
          <w:tab w:val="left" w:pos="1440"/>
        </w:tabs>
        <w:suppressAutoHyphens/>
        <w:spacing w:line="360" w:lineRule="auto"/>
        <w:jc w:val="both"/>
        <w:rPr>
          <w:rFonts w:ascii="Bookman Old Style" w:hAnsi="Bookman Old Style"/>
          <w:spacing w:val="-3"/>
          <w:sz w:val="26"/>
        </w:rPr>
      </w:pPr>
      <w:r>
        <w:rPr>
          <w:rFonts w:ascii="Bookman Old Style" w:hAnsi="Bookman Old Style"/>
          <w:spacing w:val="-3"/>
          <w:sz w:val="26"/>
        </w:rPr>
        <w:t>This is true even if the person's condition or disability made (him) (her) more susceptible to the possibility of ill effects than a normally healthy person</w:t>
      </w:r>
      <w:r>
        <w:rPr>
          <w:rFonts w:ascii="Bookman Old Style" w:hAnsi="Bookman Old Style"/>
          <w:spacing w:val="-3"/>
          <w:sz w:val="26"/>
        </w:rPr>
        <w:t xml:space="preserve"> would have been, and even if a normally healthy person probably would not have suffered any substantial injury.  In other words, the law provides that a defendant takes the plaintiff as (he) (she) (it) finds (him) (her) (it).</w:t>
      </w:r>
    </w:p>
    <w:p w:rsidR="00000000" w:rsidRDefault="00447B34">
      <w:pPr>
        <w:pStyle w:val="BodyText"/>
      </w:pPr>
    </w:p>
    <w:p w:rsidR="00000000" w:rsidRDefault="00447B34">
      <w:pPr>
        <w:pStyle w:val="BodyText"/>
      </w:pPr>
      <w:r>
        <w:t>Where a pre-existing conditi</w:t>
      </w:r>
      <w:r>
        <w:t>on or disability is so aggravated, the damages as to such condition or disability are limited to the additional damages caused by the aggravation.</w:t>
      </w:r>
    </w:p>
    <w:p w:rsidR="00000000" w:rsidRDefault="00447B34">
      <w:pPr>
        <w:widowControl/>
        <w:tabs>
          <w:tab w:val="left" w:pos="-720"/>
          <w:tab w:val="left" w:pos="1440"/>
        </w:tabs>
        <w:suppressAutoHyphens/>
        <w:spacing w:line="360" w:lineRule="auto"/>
        <w:jc w:val="both"/>
        <w:rPr>
          <w:rFonts w:ascii="Bookman Old Style" w:hAnsi="Bookman Old Style"/>
          <w:spacing w:val="-3"/>
          <w:sz w:val="26"/>
        </w:rPr>
      </w:pPr>
    </w:p>
    <w:p w:rsidR="00000000" w:rsidRDefault="00447B34">
      <w:pPr>
        <w:widowControl/>
        <w:tabs>
          <w:tab w:val="left" w:pos="-720"/>
          <w:tab w:val="left" w:pos="1440"/>
        </w:tabs>
        <w:suppressAutoHyphens/>
        <w:spacing w:line="360" w:lineRule="auto"/>
        <w:jc w:val="both"/>
        <w:rPr>
          <w:rFonts w:ascii="Bookman Old Style" w:hAnsi="Bookman Old Style"/>
          <w:spacing w:val="-3"/>
          <w:sz w:val="26"/>
        </w:rPr>
      </w:pPr>
    </w:p>
    <w:p w:rsidR="00000000" w:rsidRDefault="00447B34">
      <w:pPr>
        <w:pStyle w:val="Heading1"/>
        <w:rPr>
          <w:rFonts w:ascii="Bookman Old Style" w:hAnsi="Bookman Old Style"/>
          <w:sz w:val="26"/>
        </w:rPr>
      </w:pPr>
      <w:r>
        <w:rPr>
          <w:rFonts w:ascii="Bookman Old Style" w:hAnsi="Bookman Old Style"/>
          <w:sz w:val="26"/>
        </w:rPr>
        <w:t>Use Note</w:t>
      </w:r>
    </w:p>
    <w:p w:rsidR="00000000" w:rsidRDefault="00447B34">
      <w:pPr>
        <w:widowControl/>
        <w:tabs>
          <w:tab w:val="left" w:pos="-720"/>
          <w:tab w:val="left" w:pos="1440"/>
        </w:tabs>
        <w:suppressAutoHyphens/>
        <w:jc w:val="center"/>
        <w:rPr>
          <w:rFonts w:ascii="Bookman Old Style" w:hAnsi="Bookman Old Style"/>
          <w:spacing w:val="-3"/>
          <w:sz w:val="26"/>
        </w:rPr>
      </w:pPr>
    </w:p>
    <w:p w:rsidR="00000000" w:rsidRDefault="00447B34">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This instruction should be used only where a pre-existing condition or disability is alleged.</w:t>
      </w:r>
    </w:p>
    <w:p w:rsidR="00000000" w:rsidRDefault="00447B34">
      <w:pPr>
        <w:widowControl/>
        <w:tabs>
          <w:tab w:val="left" w:pos="-720"/>
          <w:tab w:val="left" w:pos="1440"/>
        </w:tabs>
        <w:suppressAutoHyphens/>
        <w:jc w:val="both"/>
        <w:rPr>
          <w:rFonts w:ascii="Bookman Old Style" w:hAnsi="Bookman Old Style"/>
          <w:spacing w:val="-3"/>
          <w:sz w:val="26"/>
        </w:rPr>
      </w:pPr>
    </w:p>
    <w:p w:rsidR="00000000" w:rsidRDefault="00447B34">
      <w:pPr>
        <w:pStyle w:val="Heading1"/>
        <w:rPr>
          <w:rFonts w:ascii="Bookman Old Style" w:hAnsi="Bookman Old Style"/>
          <w:sz w:val="26"/>
        </w:rPr>
      </w:pPr>
      <w:r>
        <w:rPr>
          <w:rFonts w:ascii="Bookman Old Style" w:hAnsi="Bookman Old Style"/>
          <w:sz w:val="26"/>
        </w:rPr>
        <w:t>Co</w:t>
      </w:r>
      <w:r>
        <w:rPr>
          <w:rFonts w:ascii="Bookman Old Style" w:hAnsi="Bookman Old Style"/>
          <w:sz w:val="26"/>
        </w:rPr>
        <w:t>mment</w:t>
      </w:r>
    </w:p>
    <w:p w:rsidR="00000000" w:rsidRDefault="00447B34">
      <w:pPr>
        <w:widowControl/>
        <w:tabs>
          <w:tab w:val="left" w:pos="-720"/>
          <w:tab w:val="left" w:pos="1440"/>
        </w:tabs>
        <w:suppressAutoHyphens/>
        <w:jc w:val="center"/>
        <w:rPr>
          <w:rFonts w:ascii="Bookman Old Style" w:hAnsi="Bookman Old Style"/>
          <w:spacing w:val="-3"/>
          <w:sz w:val="26"/>
          <w:u w:val="single"/>
        </w:rPr>
      </w:pPr>
    </w:p>
    <w:p w:rsidR="00000000" w:rsidRDefault="00447B34">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Use of the above instruction was approved in </w:t>
      </w:r>
      <w:r>
        <w:rPr>
          <w:rFonts w:ascii="Bookman Old Style" w:hAnsi="Bookman Old Style"/>
          <w:spacing w:val="-3"/>
          <w:sz w:val="26"/>
          <w:u w:val="single"/>
        </w:rPr>
        <w:t>LaMoureaux v. Totem Ocean Trailer Express, Inc.</w:t>
      </w:r>
      <w:r>
        <w:rPr>
          <w:rFonts w:ascii="Bookman Old Style" w:hAnsi="Bookman Old Style"/>
          <w:spacing w:val="-3"/>
          <w:sz w:val="26"/>
        </w:rPr>
        <w:t xml:space="preserve">, 632 P.2d 539 (Alaska 1981) and </w:t>
      </w:r>
      <w:r>
        <w:rPr>
          <w:rFonts w:ascii="Bookman Old Style" w:hAnsi="Bookman Old Style"/>
          <w:spacing w:val="-3"/>
          <w:sz w:val="26"/>
          <w:u w:val="single"/>
        </w:rPr>
        <w:t>Tolan v. ERA Helicopters, Inc.</w:t>
      </w:r>
      <w:r>
        <w:rPr>
          <w:rFonts w:ascii="Bookman Old Style" w:hAnsi="Bookman Old Style"/>
          <w:spacing w:val="-3"/>
          <w:sz w:val="26"/>
        </w:rPr>
        <w:t xml:space="preserve">, 699 P. 2d 1265 (Alaska 1985). In </w:t>
      </w:r>
      <w:r>
        <w:rPr>
          <w:rFonts w:ascii="Bookman Old Style" w:hAnsi="Bookman Old Style"/>
          <w:spacing w:val="-3"/>
          <w:sz w:val="26"/>
          <w:u w:val="single"/>
        </w:rPr>
        <w:t>LaMoureaux</w:t>
      </w:r>
      <w:r>
        <w:rPr>
          <w:rFonts w:ascii="Bookman Old Style" w:hAnsi="Bookman Old Style"/>
          <w:spacing w:val="-3"/>
          <w:sz w:val="26"/>
        </w:rPr>
        <w:t>, the court held that in the ordinary case the pl</w:t>
      </w:r>
      <w:r>
        <w:rPr>
          <w:rFonts w:ascii="Bookman Old Style" w:hAnsi="Bookman Old Style"/>
          <w:spacing w:val="-3"/>
          <w:sz w:val="26"/>
        </w:rPr>
        <w:t xml:space="preserve">aintiff must show the degree to which </w:t>
      </w:r>
      <w:r>
        <w:rPr>
          <w:rFonts w:ascii="Bookman Old Style" w:hAnsi="Bookman Old Style"/>
          <w:spacing w:val="-3"/>
          <w:sz w:val="26"/>
        </w:rPr>
        <w:lastRenderedPageBreak/>
        <w:t xml:space="preserve">a pre-existing condition has been aggravated, but the requirements of proof are relaxed so that plaintiff need not prove the amount of aggravation with great exactitude.  In </w:t>
      </w:r>
      <w:r>
        <w:rPr>
          <w:rFonts w:ascii="Bookman Old Style" w:hAnsi="Bookman Old Style"/>
          <w:spacing w:val="-3"/>
          <w:sz w:val="26"/>
          <w:u w:val="single"/>
        </w:rPr>
        <w:t>Tolan</w:t>
      </w:r>
      <w:r>
        <w:rPr>
          <w:rFonts w:ascii="Bookman Old Style" w:hAnsi="Bookman Old Style"/>
          <w:spacing w:val="-3"/>
          <w:sz w:val="26"/>
        </w:rPr>
        <w:t xml:space="preserve"> the court indicated that the above ins</w:t>
      </w:r>
      <w:r>
        <w:rPr>
          <w:rFonts w:ascii="Bookman Old Style" w:hAnsi="Bookman Old Style"/>
          <w:spacing w:val="-3"/>
          <w:sz w:val="26"/>
        </w:rPr>
        <w:t xml:space="preserve">truction should not be modified to expressly place the burden on the plaintiff unless there is qualification as to the relaxed requirement of proof.  </w:t>
      </w:r>
      <w:r>
        <w:rPr>
          <w:rFonts w:ascii="Bookman Old Style" w:hAnsi="Bookman Old Style"/>
          <w:spacing w:val="-3"/>
          <w:sz w:val="26"/>
          <w:u w:val="single"/>
        </w:rPr>
        <w:t>Id</w:t>
      </w:r>
      <w:r>
        <w:rPr>
          <w:rFonts w:ascii="Bookman Old Style" w:hAnsi="Bookman Old Style"/>
          <w:spacing w:val="-3"/>
          <w:sz w:val="26"/>
        </w:rPr>
        <w:t>. at 1271-72.</w:t>
      </w:r>
    </w:p>
    <w:p w:rsidR="00000000" w:rsidRDefault="00447B34">
      <w:pPr>
        <w:widowControl/>
        <w:tabs>
          <w:tab w:val="left" w:pos="-720"/>
          <w:tab w:val="left" w:pos="1440"/>
        </w:tabs>
        <w:suppressAutoHyphens/>
        <w:jc w:val="both"/>
        <w:rPr>
          <w:rFonts w:ascii="Bookman Old Style" w:hAnsi="Bookman Old Style"/>
          <w:spacing w:val="-3"/>
          <w:sz w:val="26"/>
        </w:rPr>
      </w:pPr>
    </w:p>
    <w:p w:rsidR="00000000" w:rsidRDefault="00447B34">
      <w:pPr>
        <w:widowControl/>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In </w:t>
      </w:r>
      <w:r>
        <w:rPr>
          <w:rFonts w:ascii="Bookman Old Style" w:hAnsi="Bookman Old Style"/>
          <w:spacing w:val="-3"/>
          <w:sz w:val="26"/>
          <w:u w:val="single"/>
        </w:rPr>
        <w:t>LaMoureaux,</w:t>
      </w:r>
      <w:r>
        <w:rPr>
          <w:rFonts w:ascii="Bookman Old Style" w:hAnsi="Bookman Old Style"/>
          <w:spacing w:val="-3"/>
          <w:sz w:val="26"/>
        </w:rPr>
        <w:t xml:space="preserve"> the court suggested that in some cases in which medical experts are unable</w:t>
      </w:r>
      <w:r>
        <w:rPr>
          <w:rFonts w:ascii="Bookman Old Style" w:hAnsi="Bookman Old Style"/>
          <w:spacing w:val="-3"/>
          <w:sz w:val="26"/>
        </w:rPr>
        <w:t xml:space="preserve"> to determine the amount of aggravation, it may be appropriate to put the burden on the defendant to show apportionment at the risk of being held liable for the entire damage.  The court indicated that this reallocation of the burden is an extreme measure </w:t>
      </w:r>
      <w:r>
        <w:rPr>
          <w:rFonts w:ascii="Bookman Old Style" w:hAnsi="Bookman Old Style"/>
          <w:spacing w:val="-3"/>
          <w:sz w:val="26"/>
        </w:rPr>
        <w:t>and should not be done absent a showing of compelling injustice to the plaintiff.  632 P.2d at 539.</w:t>
      </w:r>
    </w:p>
    <w:p w:rsidR="00000000" w:rsidRDefault="00447B34">
      <w:pPr>
        <w:widowControl/>
        <w:tabs>
          <w:tab w:val="left" w:pos="-720"/>
          <w:tab w:val="left" w:pos="1440"/>
        </w:tabs>
        <w:suppressAutoHyphens/>
        <w:jc w:val="both"/>
        <w:rPr>
          <w:rFonts w:ascii="Bookman Old Style" w:hAnsi="Bookman Old Style"/>
          <w:spacing w:val="-3"/>
          <w:sz w:val="26"/>
        </w:rPr>
      </w:pPr>
    </w:p>
    <w:sectPr w:rsidR="00000000">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7B34">
      <w:pPr>
        <w:spacing w:line="20" w:lineRule="exact"/>
      </w:pPr>
    </w:p>
  </w:endnote>
  <w:endnote w:type="continuationSeparator" w:id="0">
    <w:p w:rsidR="00000000" w:rsidRDefault="00447B34">
      <w:r>
        <w:t xml:space="preserve"> </w:t>
      </w:r>
    </w:p>
  </w:endnote>
  <w:endnote w:type="continuationNotice" w:id="1">
    <w:p w:rsidR="00000000" w:rsidRDefault="00447B3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B34">
    <w:pPr>
      <w:pStyle w:val="Footer"/>
      <w:tabs>
        <w:tab w:val="clear" w:pos="4320"/>
        <w:tab w:val="clear" w:pos="8640"/>
        <w:tab w:val="right" w:pos="9270"/>
      </w:tabs>
      <w:rPr>
        <w:rFonts w:ascii="Bookman Old Style" w:hAnsi="Bookman Old Style"/>
        <w:sz w:val="26"/>
      </w:rPr>
    </w:pPr>
    <w:r>
      <w:rPr>
        <w:rFonts w:ascii="Bookman Old Style" w:hAnsi="Bookman Old Style"/>
        <w:sz w:val="26"/>
      </w:rPr>
      <w:t>Revised 1990</w:t>
    </w:r>
    <w:r>
      <w:rPr>
        <w:rFonts w:ascii="Bookman Old Style" w:hAnsi="Bookman Old Style"/>
        <w:sz w:val="26"/>
      </w:rPr>
      <w:tab/>
      <w:t xml:space="preserve"> 20.11 -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5C399E">
      <w:rPr>
        <w:rStyle w:val="PageNumber"/>
        <w:rFonts w:ascii="Bookman Old Style" w:hAnsi="Bookman Old Style"/>
        <w:noProof/>
        <w:sz w:val="26"/>
      </w:rPr>
      <w:t>1</w:t>
    </w:r>
    <w:r>
      <w:rPr>
        <w:rStyle w:val="PageNumber"/>
        <w:rFonts w:ascii="Bookman Old Style" w:hAnsi="Bookman Old Style"/>
        <w:sz w:val="26"/>
      </w:rPr>
      <w:fldChar w:fldCharType="end"/>
    </w:r>
  </w:p>
  <w:p w:rsidR="00000000" w:rsidRDefault="00447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7B34">
      <w:r>
        <w:separator/>
      </w:r>
    </w:p>
  </w:footnote>
  <w:footnote w:type="continuationSeparator" w:id="0">
    <w:p w:rsidR="00000000" w:rsidRDefault="00447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9E"/>
    <w:rsid w:val="00447B34"/>
    <w:rsid w:val="005C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spacing w:line="360" w:lineRule="auto"/>
      <w:jc w:val="both"/>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spacing w:line="360" w:lineRule="auto"/>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vt:lpstr>
    </vt:vector>
  </TitlesOfParts>
  <Company>Alaska Court System</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jlee</dc:creator>
  <cp:keywords/>
  <cp:lastModifiedBy>Michael Merrington</cp:lastModifiedBy>
  <cp:revision>3</cp:revision>
  <cp:lastPrinted>2000-08-17T22:10:00Z</cp:lastPrinted>
  <dcterms:created xsi:type="dcterms:W3CDTF">2017-04-04T18:51:00Z</dcterms:created>
  <dcterms:modified xsi:type="dcterms:W3CDTF">2017-04-04T18:51:00Z</dcterms:modified>
</cp:coreProperties>
</file>