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20E48">
      <w:pPr>
        <w:widowControl/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spacing w:val="-3"/>
          <w:sz w:val="26"/>
        </w:rPr>
      </w:pPr>
      <w:bookmarkStart w:id="0" w:name="_GoBack"/>
      <w:bookmarkEnd w:id="0"/>
      <w:r>
        <w:rPr>
          <w:rFonts w:ascii="Bookman Old Style" w:hAnsi="Bookman Old Style"/>
          <w:spacing w:val="-3"/>
          <w:sz w:val="26"/>
        </w:rPr>
        <w:t>20.13</w:t>
      </w:r>
      <w:r>
        <w:rPr>
          <w:rFonts w:ascii="Bookman Old Style" w:hAnsi="Bookman Old Style"/>
          <w:spacing w:val="-3"/>
          <w:sz w:val="26"/>
        </w:rPr>
        <w:tab/>
        <w:t>LIFE EXPECTANCY</w:t>
      </w:r>
    </w:p>
    <w:p w:rsidR="00000000" w:rsidRDefault="00320E48">
      <w:pPr>
        <w:widowControl/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320E48">
      <w:pPr>
        <w:widowControl/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320E48">
      <w:pPr>
        <w:widowControl/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 xml:space="preserve">In fixing the amount of compensation for some items of loss you may have to decide the life expectancy of the plaintiff, [either] [as it was prior to the accident] [and] [or] [what it is now after the accident].  I will now explain </w:t>
      </w:r>
      <w:r>
        <w:rPr>
          <w:rFonts w:ascii="Bookman Old Style" w:hAnsi="Bookman Old Style"/>
          <w:spacing w:val="-3"/>
          <w:sz w:val="26"/>
        </w:rPr>
        <w:t>how you are to do this.</w:t>
      </w:r>
    </w:p>
    <w:p w:rsidR="00000000" w:rsidRDefault="00320E48">
      <w:pPr>
        <w:widowControl/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320E48">
      <w:pPr>
        <w:widowControl/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>You have available as evidence what is called a table of mortality.  According to the table, the life expectancy of a (male) (female) person aged (insert plaintiff's age) is (insert number from table) years.  The table tells you th</w:t>
      </w:r>
      <w:r>
        <w:rPr>
          <w:rFonts w:ascii="Bookman Old Style" w:hAnsi="Bookman Old Style"/>
          <w:spacing w:val="-3"/>
          <w:sz w:val="26"/>
        </w:rPr>
        <w:t>e average life expectancy of persons of a particular age and sex.  Many persons live longer and many die sooner than the average.</w:t>
      </w:r>
    </w:p>
    <w:p w:rsidR="00000000" w:rsidRDefault="00320E48">
      <w:pPr>
        <w:pStyle w:val="BodyText"/>
        <w:spacing w:line="360" w:lineRule="auto"/>
        <w:rPr>
          <w:rFonts w:ascii="Bookman Old Style" w:hAnsi="Bookman Old Style"/>
          <w:sz w:val="26"/>
        </w:rPr>
      </w:pPr>
    </w:p>
    <w:p w:rsidR="00000000" w:rsidRDefault="00320E48">
      <w:pPr>
        <w:pStyle w:val="BodyText"/>
        <w:spacing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You should assume the figure in the table represents the probable life expectancy of the plaintiff unless there is other evid</w:t>
      </w:r>
      <w:r>
        <w:rPr>
          <w:rFonts w:ascii="Bookman Old Style" w:hAnsi="Bookman Old Style"/>
          <w:sz w:val="26"/>
        </w:rPr>
        <w:t>ence such as (his) (her) occupation, health, family history, habits, and other activities from which you can reasonably conclude that the plaintiff's life expectancy is longer or shorter than average.</w:t>
      </w:r>
    </w:p>
    <w:p w:rsidR="00000000" w:rsidRDefault="00320E48">
      <w:pPr>
        <w:widowControl/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320E48">
      <w:pPr>
        <w:widowControl/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320E48">
      <w:pPr>
        <w:pStyle w:val="Heading1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Use Note</w:t>
      </w:r>
    </w:p>
    <w:p w:rsidR="00000000" w:rsidRDefault="00320E48">
      <w:pPr>
        <w:pStyle w:val="BodyText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Use this instruction in cases where a claim </w:t>
      </w:r>
      <w:r>
        <w:rPr>
          <w:rFonts w:ascii="Bookman Old Style" w:hAnsi="Bookman Old Style"/>
          <w:sz w:val="26"/>
        </w:rPr>
        <w:t>for future damages requires a life expectancy calculation.</w:t>
      </w:r>
    </w:p>
    <w:p w:rsidR="00000000" w:rsidRDefault="00320E48">
      <w:pPr>
        <w:widowControl/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000000" w:rsidRDefault="00320E48">
      <w:pPr>
        <w:widowControl/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>In the first paragraph the appropriate language depends on whether the jury must decide life expectancy before or after the accident or both.</w:t>
      </w:r>
    </w:p>
    <w:p w:rsidR="00000000" w:rsidRDefault="00320E48">
      <w:pPr>
        <w:widowControl/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000000" w:rsidRDefault="00320E48">
      <w:pPr>
        <w:pStyle w:val="Heading1"/>
        <w:keepLines/>
        <w:spacing w:line="24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lastRenderedPageBreak/>
        <w:t>Comment</w:t>
      </w:r>
    </w:p>
    <w:p w:rsidR="00000000" w:rsidRDefault="00320E48">
      <w:pPr>
        <w:keepNext/>
        <w:keepLines/>
        <w:widowControl/>
        <w:tabs>
          <w:tab w:val="left" w:pos="-720"/>
          <w:tab w:val="left" w:pos="1440"/>
        </w:tabs>
        <w:suppressAutoHyphens/>
        <w:jc w:val="center"/>
        <w:rPr>
          <w:rFonts w:ascii="Bookman Old Style" w:hAnsi="Bookman Old Style"/>
          <w:spacing w:val="-3"/>
          <w:sz w:val="26"/>
        </w:rPr>
      </w:pPr>
    </w:p>
    <w:p w:rsidR="00000000" w:rsidRDefault="00320E48">
      <w:pPr>
        <w:keepNext/>
        <w:keepLines/>
        <w:widowControl/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>The court has held that where there is no ev</w:t>
      </w:r>
      <w:r>
        <w:rPr>
          <w:rFonts w:ascii="Bookman Old Style" w:hAnsi="Bookman Old Style"/>
          <w:spacing w:val="-3"/>
          <w:sz w:val="26"/>
        </w:rPr>
        <w:t xml:space="preserve">idence of a permanent disability, an instruction as to the plaintiff’s life expectancy is not warranted.  </w:t>
      </w:r>
      <w:r>
        <w:rPr>
          <w:rFonts w:ascii="Bookman Old Style" w:hAnsi="Bookman Old Style"/>
          <w:spacing w:val="-3"/>
          <w:sz w:val="26"/>
          <w:u w:val="single"/>
        </w:rPr>
        <w:t>Wilson v. Interior Airways, Inc.</w:t>
      </w:r>
      <w:r>
        <w:rPr>
          <w:rFonts w:ascii="Bookman Old Style" w:hAnsi="Bookman Old Style"/>
          <w:spacing w:val="-3"/>
          <w:sz w:val="26"/>
        </w:rPr>
        <w:t>, 384 P.2d 956 (Alaska 1963).</w:t>
      </w:r>
    </w:p>
    <w:p w:rsidR="00000000" w:rsidRDefault="00320E48">
      <w:pPr>
        <w:widowControl/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000000" w:rsidRDefault="00320E48">
      <w:pPr>
        <w:widowControl/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>The court has held that although a determining life expectancy, a standard mortality ta</w:t>
      </w:r>
      <w:r>
        <w:rPr>
          <w:rFonts w:ascii="Bookman Old Style" w:hAnsi="Bookman Old Style"/>
          <w:spacing w:val="-3"/>
          <w:sz w:val="26"/>
        </w:rPr>
        <w:t xml:space="preserve">ble is </w:t>
      </w:r>
      <w:r>
        <w:rPr>
          <w:rFonts w:ascii="Bookman Old Style" w:hAnsi="Bookman Old Style"/>
          <w:spacing w:val="-3"/>
          <w:sz w:val="26"/>
          <w:u w:val="single"/>
        </w:rPr>
        <w:t>not</w:t>
      </w:r>
      <w:r>
        <w:rPr>
          <w:rFonts w:ascii="Bookman Old Style" w:hAnsi="Bookman Old Style"/>
          <w:spacing w:val="-3"/>
          <w:sz w:val="26"/>
        </w:rPr>
        <w:t xml:space="preserve"> binding, there must be some evidence to justify a departure from the table.  </w:t>
      </w:r>
      <w:r>
        <w:rPr>
          <w:rFonts w:ascii="Bookman Old Style" w:hAnsi="Bookman Old Style"/>
          <w:spacing w:val="-3"/>
          <w:sz w:val="26"/>
          <w:u w:val="single"/>
        </w:rPr>
        <w:t>Hinchey v. Hinchey</w:t>
      </w:r>
      <w:r>
        <w:rPr>
          <w:rFonts w:ascii="Bookman Old Style" w:hAnsi="Bookman Old Style"/>
          <w:spacing w:val="-3"/>
          <w:sz w:val="26"/>
        </w:rPr>
        <w:t xml:space="preserve">, 722 P.2d 949, 953 n.9 (Alaska 1986); </w:t>
      </w:r>
      <w:r>
        <w:rPr>
          <w:rFonts w:ascii="Bookman Old Style" w:hAnsi="Bookman Old Style"/>
          <w:spacing w:val="-3"/>
          <w:sz w:val="26"/>
          <w:u w:val="single"/>
        </w:rPr>
        <w:t>Morrison v. State</w:t>
      </w:r>
      <w:r>
        <w:rPr>
          <w:rFonts w:ascii="Bookman Old Style" w:hAnsi="Bookman Old Style"/>
          <w:spacing w:val="-3"/>
          <w:sz w:val="26"/>
        </w:rPr>
        <w:t xml:space="preserve">, 516 P.2d 402, 406 (Alaska 1973).  The court has approved a very large award of damages to a </w:t>
      </w:r>
      <w:r>
        <w:rPr>
          <w:rFonts w:ascii="Bookman Old Style" w:hAnsi="Bookman Old Style"/>
          <w:spacing w:val="-3"/>
          <w:sz w:val="26"/>
        </w:rPr>
        <w:t xml:space="preserve">64-year old plaintiff with a life expectancy of 13.5 years when there was evidence that the plaintiff came from a very long-lived family.  The court found that the jury could have properly concluded that the plaintiff’s life expectancy was longer than the </w:t>
      </w:r>
      <w:r>
        <w:rPr>
          <w:rFonts w:ascii="Bookman Old Style" w:hAnsi="Bookman Old Style"/>
          <w:spacing w:val="-3"/>
          <w:sz w:val="26"/>
        </w:rPr>
        <w:t xml:space="preserve">table indicated.  </w:t>
      </w:r>
      <w:r>
        <w:rPr>
          <w:rFonts w:ascii="Bookman Old Style" w:hAnsi="Bookman Old Style"/>
          <w:spacing w:val="-3"/>
          <w:sz w:val="26"/>
          <w:u w:val="single"/>
        </w:rPr>
        <w:t>Fruit v. Schreiner</w:t>
      </w:r>
      <w:r>
        <w:rPr>
          <w:rFonts w:ascii="Bookman Old Style" w:hAnsi="Bookman Old Style"/>
          <w:spacing w:val="-3"/>
          <w:sz w:val="26"/>
        </w:rPr>
        <w:t>, 502 P.2d 133, 144 (Alaska 1972).</w:t>
      </w:r>
    </w:p>
    <w:sectPr w:rsidR="00000000">
      <w:footerReference w:type="default" r:id="rId7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0E48">
      <w:pPr>
        <w:spacing w:line="20" w:lineRule="exact"/>
      </w:pPr>
    </w:p>
  </w:endnote>
  <w:endnote w:type="continuationSeparator" w:id="0">
    <w:p w:rsidR="00000000" w:rsidRDefault="00320E48">
      <w:r>
        <w:t xml:space="preserve"> </w:t>
      </w:r>
    </w:p>
  </w:endnote>
  <w:endnote w:type="continuationNotice" w:id="1">
    <w:p w:rsidR="00000000" w:rsidRDefault="00320E4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20E48">
    <w:pPr>
      <w:pStyle w:val="Footer"/>
      <w:tabs>
        <w:tab w:val="clear" w:pos="4320"/>
        <w:tab w:val="clear" w:pos="8640"/>
        <w:tab w:val="right" w:pos="9270"/>
      </w:tabs>
      <w:rPr>
        <w:rFonts w:ascii="Bookman Old Style" w:hAnsi="Bookman Old Style"/>
        <w:sz w:val="26"/>
      </w:rPr>
    </w:pPr>
    <w:r>
      <w:rPr>
        <w:rFonts w:ascii="Bookman Old Style" w:hAnsi="Bookman Old Style"/>
        <w:sz w:val="26"/>
      </w:rPr>
      <w:t>Revised 1990</w:t>
    </w:r>
    <w:r>
      <w:rPr>
        <w:rFonts w:ascii="Bookman Old Style" w:hAnsi="Bookman Old Style"/>
        <w:sz w:val="26"/>
      </w:rPr>
      <w:tab/>
      <w:t xml:space="preserve">20.13 - </w:t>
    </w:r>
    <w:r>
      <w:rPr>
        <w:rStyle w:val="PageNumber"/>
        <w:rFonts w:ascii="Bookman Old Style" w:hAnsi="Bookman Old Style"/>
        <w:sz w:val="26"/>
      </w:rPr>
      <w:fldChar w:fldCharType="begin"/>
    </w:r>
    <w:r>
      <w:rPr>
        <w:rStyle w:val="PageNumber"/>
        <w:rFonts w:ascii="Bookman Old Style" w:hAnsi="Bookman Old Style"/>
        <w:sz w:val="26"/>
      </w:rPr>
      <w:instrText xml:space="preserve"> PAGE </w:instrText>
    </w:r>
    <w:r>
      <w:rPr>
        <w:rStyle w:val="PageNumber"/>
        <w:rFonts w:ascii="Bookman Old Style" w:hAnsi="Bookman Old Style"/>
        <w:sz w:val="26"/>
      </w:rPr>
      <w:fldChar w:fldCharType="separate"/>
    </w:r>
    <w:r w:rsidR="005138F5">
      <w:rPr>
        <w:rStyle w:val="PageNumber"/>
        <w:rFonts w:ascii="Bookman Old Style" w:hAnsi="Bookman Old Style"/>
        <w:noProof/>
        <w:sz w:val="26"/>
      </w:rPr>
      <w:t>1</w:t>
    </w:r>
    <w:r>
      <w:rPr>
        <w:rStyle w:val="PageNumber"/>
        <w:rFonts w:ascii="Bookman Old Style" w:hAnsi="Bookman Old Style"/>
        <w:sz w:val="26"/>
      </w:rPr>
      <w:fldChar w:fldCharType="end"/>
    </w:r>
  </w:p>
  <w:p w:rsidR="00000000" w:rsidRDefault="00320E48">
    <w:pPr>
      <w:pStyle w:val="Footer"/>
    </w:pPr>
  </w:p>
  <w:p w:rsidR="00000000" w:rsidRDefault="00320E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0E48">
      <w:r>
        <w:separator/>
      </w:r>
    </w:p>
  </w:footnote>
  <w:footnote w:type="continuationSeparator" w:id="0">
    <w:p w:rsidR="00000000" w:rsidRDefault="00320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F5"/>
    <w:rsid w:val="00320E48"/>
    <w:rsid w:val="0051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-720"/>
        <w:tab w:val="left" w:pos="1440"/>
      </w:tabs>
      <w:suppressAutoHyphens/>
      <w:spacing w:line="480" w:lineRule="auto"/>
      <w:jc w:val="center"/>
      <w:outlineLvl w:val="0"/>
    </w:pPr>
    <w:rPr>
      <w:rFonts w:ascii="CG Times (PCL6)" w:hAnsi="CG Times (PCL6)"/>
      <w:spacing w:val="-3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widowControl/>
      <w:tabs>
        <w:tab w:val="left" w:pos="-720"/>
        <w:tab w:val="left" w:pos="1440"/>
      </w:tabs>
      <w:suppressAutoHyphens/>
      <w:jc w:val="both"/>
    </w:pPr>
    <w:rPr>
      <w:rFonts w:ascii="CG Times (PCL6)" w:hAnsi="CG Times (PCL6)"/>
      <w:spacing w:val="-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-720"/>
        <w:tab w:val="left" w:pos="1440"/>
      </w:tabs>
      <w:suppressAutoHyphens/>
      <w:spacing w:line="480" w:lineRule="auto"/>
      <w:jc w:val="center"/>
      <w:outlineLvl w:val="0"/>
    </w:pPr>
    <w:rPr>
      <w:rFonts w:ascii="CG Times (PCL6)" w:hAnsi="CG Times (PCL6)"/>
      <w:spacing w:val="-3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widowControl/>
      <w:tabs>
        <w:tab w:val="left" w:pos="-720"/>
        <w:tab w:val="left" w:pos="1440"/>
      </w:tabs>
      <w:suppressAutoHyphens/>
      <w:jc w:val="both"/>
    </w:pPr>
    <w:rPr>
      <w:rFonts w:ascii="CG Times (PCL6)" w:hAnsi="CG Times (PCL6)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</vt:lpstr>
    </vt:vector>
  </TitlesOfParts>
  <Company>Alaska Court System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subject/>
  <dc:creator>jlee</dc:creator>
  <cp:keywords/>
  <cp:lastModifiedBy>Michael Merrington</cp:lastModifiedBy>
  <cp:revision>3</cp:revision>
  <cp:lastPrinted>1999-11-10T20:34:00Z</cp:lastPrinted>
  <dcterms:created xsi:type="dcterms:W3CDTF">2017-04-04T18:51:00Z</dcterms:created>
  <dcterms:modified xsi:type="dcterms:W3CDTF">2017-04-04T18:51:00Z</dcterms:modified>
</cp:coreProperties>
</file>