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3CC1">
      <w:pPr>
        <w:widowControl/>
        <w:tabs>
          <w:tab w:val="left" w:pos="1440"/>
        </w:tabs>
        <w:suppressAutoHyphens/>
        <w:jc w:val="both"/>
        <w:rPr>
          <w:rFonts w:ascii="Bookman Old Style" w:hAnsi="Bookman Old Style"/>
          <w:spacing w:val="-3"/>
          <w:sz w:val="26"/>
        </w:rPr>
      </w:pPr>
      <w:bookmarkStart w:id="0" w:name="_GoBack"/>
      <w:bookmarkEnd w:id="0"/>
      <w:r>
        <w:rPr>
          <w:rFonts w:ascii="Bookman Old Style" w:hAnsi="Bookman Old Style"/>
          <w:spacing w:val="-3"/>
          <w:sz w:val="26"/>
        </w:rPr>
        <w:t>20.18A</w:t>
      </w:r>
      <w:r>
        <w:rPr>
          <w:rFonts w:ascii="Bookman Old Style" w:hAnsi="Bookman Old Style"/>
          <w:spacing w:val="-3"/>
          <w:sz w:val="26"/>
        </w:rPr>
        <w:tab/>
        <w:t>AVOIDABLE CONSEQUENCES</w:t>
      </w:r>
    </w:p>
    <w:p w:rsidR="00000000" w:rsidRDefault="00ED3CC1">
      <w:pPr>
        <w:widowControl/>
        <w:tabs>
          <w:tab w:val="left" w:pos="1440"/>
        </w:tabs>
        <w:suppressAutoHyphens/>
        <w:jc w:val="both"/>
        <w:rPr>
          <w:rFonts w:ascii="Bookman Old Style" w:hAnsi="Bookman Old Style"/>
          <w:b/>
          <w:spacing w:val="-3"/>
          <w:sz w:val="26"/>
        </w:rPr>
      </w:pPr>
    </w:p>
    <w:p w:rsidR="00000000" w:rsidRDefault="00ED3CC1">
      <w:pPr>
        <w:widowControl/>
        <w:tabs>
          <w:tab w:val="left" w:pos="-720"/>
          <w:tab w:val="left" w:pos="1440"/>
        </w:tabs>
        <w:suppressAutoHyphens/>
        <w:spacing w:line="360" w:lineRule="auto"/>
        <w:jc w:val="both"/>
        <w:rPr>
          <w:rFonts w:ascii="Bookman Old Style" w:hAnsi="Bookman Old Style"/>
          <w:spacing w:val="-3"/>
          <w:sz w:val="26"/>
        </w:rPr>
      </w:pPr>
    </w:p>
    <w:p w:rsidR="00000000" w:rsidRDefault="00ED3CC1">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 xml:space="preserve">The plaintiff is not entitled to be paid for any loss or for part of any loss (he) (she) could have avoided with reasonable efforts and without undue risk, hardship or embarrassment, even though the loss originally resulted </w:t>
      </w:r>
      <w:r>
        <w:rPr>
          <w:rFonts w:ascii="Bookman Old Style" w:hAnsi="Bookman Old Style"/>
          <w:spacing w:val="-3"/>
          <w:sz w:val="26"/>
        </w:rPr>
        <w:t xml:space="preserve">from an act or omission for which the defendant is legally responsible.  If you decide that it is more likely true than not true that the plaintiff could have avoided any loss or part of any loss with reasonable efforts and without undue risk, hardship or </w:t>
      </w:r>
      <w:r>
        <w:rPr>
          <w:rFonts w:ascii="Bookman Old Style" w:hAnsi="Bookman Old Style"/>
          <w:spacing w:val="-3"/>
          <w:sz w:val="26"/>
        </w:rPr>
        <w:t>embarrassment, you may not require the defendant to pay the amount the plaintiff could have reasonably avoided.</w:t>
      </w:r>
    </w:p>
    <w:p w:rsidR="00000000" w:rsidRDefault="00ED3CC1">
      <w:pPr>
        <w:widowControl/>
        <w:tabs>
          <w:tab w:val="left" w:pos="-720"/>
          <w:tab w:val="left" w:pos="1440"/>
        </w:tabs>
        <w:suppressAutoHyphens/>
        <w:spacing w:line="360" w:lineRule="auto"/>
        <w:jc w:val="both"/>
        <w:rPr>
          <w:rFonts w:ascii="Bookman Old Style" w:hAnsi="Bookman Old Style"/>
          <w:spacing w:val="-3"/>
          <w:sz w:val="26"/>
        </w:rPr>
      </w:pPr>
    </w:p>
    <w:p w:rsidR="00000000" w:rsidRDefault="00ED3CC1">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[In these instructions I have asked you to decide in two separate contexts whether the plaintiff's actions were reasonable and I want to make s</w:t>
      </w:r>
      <w:r>
        <w:rPr>
          <w:rFonts w:ascii="Bookman Old Style" w:hAnsi="Bookman Old Style"/>
          <w:spacing w:val="-3"/>
          <w:sz w:val="26"/>
        </w:rPr>
        <w:t>ure you understand the difference.  Earlier I told you how to decide whether the plaintiff's failure to use reasonable care caused plaintiff's loss.  If you decide it did, you were asked to compare the plaintiff's negligence with the negligence, if any, of</w:t>
      </w:r>
      <w:r>
        <w:rPr>
          <w:rFonts w:ascii="Bookman Old Style" w:hAnsi="Bookman Old Style"/>
          <w:spacing w:val="-3"/>
          <w:sz w:val="26"/>
        </w:rPr>
        <w:t xml:space="preserve"> the defendant.  Now I am asking you to decide whether after the loss occurred, the plaintiff failed to use reasonable efforts to minimize or avoid the loss.  If you decide (he) (she) did, then you may not compensate for the loss which could have been reas</w:t>
      </w:r>
      <w:r>
        <w:rPr>
          <w:rFonts w:ascii="Bookman Old Style" w:hAnsi="Bookman Old Style"/>
          <w:spacing w:val="-3"/>
          <w:sz w:val="26"/>
        </w:rPr>
        <w:t>onably avoided.]</w:t>
      </w:r>
    </w:p>
    <w:p w:rsidR="00000000" w:rsidRDefault="00ED3CC1">
      <w:pPr>
        <w:widowControl/>
        <w:tabs>
          <w:tab w:val="left" w:pos="-720"/>
          <w:tab w:val="left" w:pos="1440"/>
        </w:tabs>
        <w:suppressAutoHyphens/>
        <w:spacing w:line="360" w:lineRule="auto"/>
        <w:jc w:val="both"/>
        <w:rPr>
          <w:rFonts w:ascii="Bookman Old Style" w:hAnsi="Bookman Old Style"/>
          <w:spacing w:val="-3"/>
          <w:sz w:val="26"/>
        </w:rPr>
      </w:pPr>
    </w:p>
    <w:p w:rsidR="00000000" w:rsidRDefault="00ED3CC1">
      <w:pPr>
        <w:widowControl/>
        <w:tabs>
          <w:tab w:val="left" w:pos="-720"/>
          <w:tab w:val="left" w:pos="1440"/>
        </w:tabs>
        <w:suppressAutoHyphens/>
        <w:spacing w:line="360" w:lineRule="auto"/>
        <w:jc w:val="both"/>
        <w:rPr>
          <w:rFonts w:ascii="Bookman Old Style" w:hAnsi="Bookman Old Style"/>
          <w:spacing w:val="-3"/>
          <w:sz w:val="26"/>
        </w:rPr>
      </w:pPr>
    </w:p>
    <w:p w:rsidR="00000000" w:rsidRDefault="00ED3CC1">
      <w:pPr>
        <w:pStyle w:val="Heading1"/>
        <w:rPr>
          <w:rFonts w:ascii="Bookman Old Style" w:hAnsi="Bookman Old Style"/>
          <w:sz w:val="26"/>
        </w:rPr>
      </w:pPr>
      <w:r>
        <w:rPr>
          <w:rFonts w:ascii="Bookman Old Style" w:hAnsi="Bookman Old Style"/>
          <w:sz w:val="26"/>
        </w:rPr>
        <w:t>Use Note</w:t>
      </w:r>
    </w:p>
    <w:p w:rsidR="00000000" w:rsidRDefault="00ED3CC1">
      <w:pPr>
        <w:widowControl/>
        <w:tabs>
          <w:tab w:val="left" w:pos="-720"/>
          <w:tab w:val="left" w:pos="1440"/>
        </w:tabs>
        <w:suppressAutoHyphens/>
        <w:jc w:val="center"/>
        <w:rPr>
          <w:rFonts w:ascii="Bookman Old Style" w:hAnsi="Bookman Old Style"/>
          <w:spacing w:val="-3"/>
          <w:sz w:val="26"/>
        </w:rPr>
      </w:pPr>
    </w:p>
    <w:p w:rsidR="00000000" w:rsidRDefault="00ED3CC1">
      <w:pPr>
        <w:pStyle w:val="BodyText"/>
        <w:rPr>
          <w:rFonts w:ascii="Bookman Old Style" w:hAnsi="Bookman Old Style"/>
          <w:sz w:val="26"/>
        </w:rPr>
      </w:pPr>
      <w:r>
        <w:rPr>
          <w:rFonts w:ascii="Bookman Old Style" w:hAnsi="Bookman Old Style"/>
          <w:sz w:val="26"/>
        </w:rPr>
        <w:t>This instruction should be used only where it is claimed that the plaintiff failed to mitigate damages.</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second bracketed paragraph may be given in cases where both comparative negligence and the rule of avoidable consequen</w:t>
      </w:r>
      <w:r>
        <w:rPr>
          <w:rFonts w:ascii="Bookman Old Style" w:hAnsi="Bookman Old Style"/>
          <w:spacing w:val="-3"/>
          <w:sz w:val="26"/>
        </w:rPr>
        <w:t>ces are raised.</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Instruction 20.18B should be used when the plaintiff claims avoidance expenses.</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See Instruction 24.10 for the rule of avoidable consequences in a contract action.</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In cases governed by AS 09.17 et seq., failure to mitigate is treated as “</w:t>
      </w:r>
      <w:r>
        <w:rPr>
          <w:rFonts w:ascii="Bookman Old Style" w:hAnsi="Bookman Old Style"/>
          <w:spacing w:val="-3"/>
          <w:sz w:val="26"/>
        </w:rPr>
        <w:t xml:space="preserve">fault,” AS 09.17.900, and must be apportioned pursuant to AS 09.17.080. In such a case, the following instruction should be substituted for the one above: </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pStyle w:val="BlockText"/>
      </w:pPr>
      <w:r>
        <w:t>The plaintiff is not entitled to be paid for any loss or for part of any loss (he) (she) could have</w:t>
      </w:r>
      <w:r>
        <w:t xml:space="preserve"> avoided with reasonable efforts and without undue risk, hardship or embarrassment, even though the loss originally resulted from an act or omission for which the defendant is legally responsible. If you decide that it is more likely true than not true tha</w:t>
      </w:r>
      <w:r>
        <w:t>t the plaintiff could have avoided any loss or part of any loss with reasonable efforts and without undue risk, hardship or embarrassment, then you must assign a percentage of fault to the plaintiff equal to the percentage of the damages caused by the plai</w:t>
      </w:r>
      <w:r>
        <w:t>ntiff’s failure to do so.</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pStyle w:val="Heading1"/>
        <w:rPr>
          <w:rFonts w:ascii="Bookman Old Style" w:hAnsi="Bookman Old Style"/>
          <w:sz w:val="26"/>
        </w:rPr>
      </w:pPr>
      <w:r>
        <w:rPr>
          <w:rFonts w:ascii="Bookman Old Style" w:hAnsi="Bookman Old Style"/>
          <w:sz w:val="26"/>
        </w:rPr>
        <w:t>Comment</w:t>
      </w:r>
    </w:p>
    <w:p w:rsidR="00000000" w:rsidRDefault="00ED3CC1">
      <w:pPr>
        <w:widowControl/>
        <w:tabs>
          <w:tab w:val="left" w:pos="-720"/>
          <w:tab w:val="left" w:pos="1440"/>
        </w:tabs>
        <w:suppressAutoHyphens/>
        <w:jc w:val="center"/>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The Alaska Supreme Court has recognized the basic principle that a plaintiff with an otherwise valid right of action may not recover for losses resulting from failure to use reasonable efforts to avoid or prevent them.  </w:t>
      </w:r>
      <w:r>
        <w:rPr>
          <w:rFonts w:ascii="Bookman Old Style" w:hAnsi="Bookman Old Style"/>
          <w:spacing w:val="-3"/>
          <w:sz w:val="26"/>
        </w:rPr>
        <w:t xml:space="preserve">This rule applies whether the action is in tort or breach of contract and is known as the avoidable consequences rule.  </w:t>
      </w:r>
      <w:r>
        <w:rPr>
          <w:rFonts w:ascii="Bookman Old Style" w:hAnsi="Bookman Old Style"/>
          <w:spacing w:val="-3"/>
          <w:sz w:val="26"/>
          <w:u w:val="single"/>
        </w:rPr>
        <w:t>Anchorage Independent School District v. Stephens</w:t>
      </w:r>
      <w:r>
        <w:rPr>
          <w:rFonts w:ascii="Bookman Old Style" w:hAnsi="Bookman Old Style"/>
          <w:spacing w:val="-3"/>
          <w:sz w:val="26"/>
        </w:rPr>
        <w:t>, 370 P.2d 531, 533 (Alaska 1962).  The determination of whether the plaintiff’s mitiga</w:t>
      </w:r>
      <w:r>
        <w:rPr>
          <w:rFonts w:ascii="Bookman Old Style" w:hAnsi="Bookman Old Style"/>
          <w:spacing w:val="-3"/>
          <w:sz w:val="26"/>
        </w:rPr>
        <w:t xml:space="preserve">tion efforts were reasonable is normally an issue of fact for the jury to decide.  </w:t>
      </w:r>
      <w:r>
        <w:rPr>
          <w:rFonts w:ascii="Bookman Old Style" w:hAnsi="Bookman Old Style"/>
          <w:spacing w:val="-3"/>
          <w:sz w:val="26"/>
          <w:u w:val="single"/>
        </w:rPr>
        <w:t>Murray E. Gildersleeve Logging Co. v. Northern Timber Corp.</w:t>
      </w:r>
      <w:r>
        <w:rPr>
          <w:rFonts w:ascii="Bookman Old Style" w:hAnsi="Bookman Old Style"/>
          <w:spacing w:val="-3"/>
          <w:sz w:val="26"/>
        </w:rPr>
        <w:t>, 670 P.2d 372, 380 (Alaska 1983).</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The court has approved instructions on the duty to mitigate losses arising out</w:t>
      </w:r>
      <w:r>
        <w:rPr>
          <w:rFonts w:ascii="Bookman Old Style" w:hAnsi="Bookman Old Style"/>
          <w:spacing w:val="-3"/>
          <w:sz w:val="26"/>
        </w:rPr>
        <w:t xml:space="preserve"> of torts.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ERA Helicopters, Inc. v. Digicon Alaska, Inc.</w:t>
      </w:r>
      <w:r>
        <w:rPr>
          <w:rFonts w:ascii="Bookman Old Style" w:hAnsi="Bookman Old Style"/>
          <w:spacing w:val="-3"/>
          <w:sz w:val="26"/>
        </w:rPr>
        <w:t xml:space="preserve">, 518 P.2d 1057, 1059 n.2 (Alaska 1974) (property damage), and </w:t>
      </w:r>
      <w:r>
        <w:rPr>
          <w:rFonts w:ascii="Bookman Old Style" w:hAnsi="Bookman Old Style"/>
          <w:spacing w:val="-3"/>
          <w:sz w:val="26"/>
          <w:u w:val="single"/>
        </w:rPr>
        <w:t>Irving v. Bullock</w:t>
      </w:r>
      <w:r>
        <w:rPr>
          <w:rFonts w:ascii="Bookman Old Style" w:hAnsi="Bookman Old Style"/>
          <w:spacing w:val="-3"/>
          <w:sz w:val="26"/>
        </w:rPr>
        <w:t>, 549 P.2d 1184, 1186 n.2 (Alaska 1976) (personal injury).</w:t>
      </w:r>
    </w:p>
    <w:p w:rsidR="00000000" w:rsidRDefault="00ED3CC1">
      <w:pPr>
        <w:widowControl/>
        <w:tabs>
          <w:tab w:val="left" w:pos="-720"/>
          <w:tab w:val="left" w:pos="1440"/>
        </w:tabs>
        <w:suppressAutoHyphens/>
        <w:jc w:val="both"/>
        <w:rPr>
          <w:rFonts w:ascii="Bookman Old Style" w:hAnsi="Bookman Old Style"/>
          <w:spacing w:val="-3"/>
          <w:sz w:val="26"/>
        </w:rPr>
      </w:pPr>
    </w:p>
    <w:p w:rsidR="00000000" w:rsidRDefault="00ED3CC1">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lastRenderedPageBreak/>
        <w:t>Instructions on the duty to mitigate damages are not gi</w:t>
      </w:r>
      <w:r>
        <w:rPr>
          <w:rFonts w:ascii="Bookman Old Style" w:hAnsi="Bookman Old Style"/>
          <w:spacing w:val="-3"/>
          <w:sz w:val="26"/>
        </w:rPr>
        <w:t xml:space="preserve">ven in every case, but are given only when there is sufficient evidence to suggest that the plaintiff may have breached this duty.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Spruce Equipment Co. v. Maloney</w:t>
      </w:r>
      <w:r>
        <w:rPr>
          <w:rFonts w:ascii="Bookman Old Style" w:hAnsi="Bookman Old Style"/>
          <w:spacing w:val="-3"/>
          <w:sz w:val="26"/>
        </w:rPr>
        <w:t xml:space="preserve">, 527 P.2d 1295, 1301-02 (Alaska 1974); </w:t>
      </w:r>
      <w:r>
        <w:rPr>
          <w:rFonts w:ascii="Bookman Old Style" w:hAnsi="Bookman Old Style"/>
          <w:spacing w:val="-3"/>
          <w:sz w:val="26"/>
          <w:u w:val="single"/>
        </w:rPr>
        <w:t>Irving v. Bullock</w:t>
      </w:r>
      <w:r>
        <w:rPr>
          <w:rFonts w:ascii="Bookman Old Style" w:hAnsi="Bookman Old Style"/>
          <w:spacing w:val="-3"/>
          <w:sz w:val="26"/>
        </w:rPr>
        <w:t xml:space="preserve">, 549 P.2d at 1186-87.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also</w:t>
      </w:r>
      <w:r>
        <w:rPr>
          <w:rFonts w:ascii="Bookman Old Style" w:hAnsi="Bookman Old Style"/>
          <w:spacing w:val="-3"/>
          <w:sz w:val="26"/>
        </w:rPr>
        <w:t xml:space="preserve"> </w:t>
      </w:r>
      <w:r>
        <w:rPr>
          <w:rFonts w:ascii="Bookman Old Style" w:hAnsi="Bookman Old Style"/>
          <w:spacing w:val="-3"/>
          <w:sz w:val="26"/>
          <w:u w:val="single"/>
        </w:rPr>
        <w:t>Alaska Children’s Services, Inc. v. Smart</w:t>
      </w:r>
      <w:r>
        <w:rPr>
          <w:rFonts w:ascii="Bookman Old Style" w:hAnsi="Bookman Old Style"/>
          <w:spacing w:val="-3"/>
          <w:sz w:val="26"/>
        </w:rPr>
        <w:t>, 677 P.2d 899, 903 (Alaska 1984).</w:t>
      </w: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3CC1">
      <w:pPr>
        <w:spacing w:line="20" w:lineRule="exact"/>
      </w:pPr>
    </w:p>
  </w:endnote>
  <w:endnote w:type="continuationSeparator" w:id="0">
    <w:p w:rsidR="00000000" w:rsidRDefault="00ED3CC1">
      <w:r>
        <w:t xml:space="preserve"> </w:t>
      </w:r>
    </w:p>
  </w:endnote>
  <w:endnote w:type="continuationNotice" w:id="1">
    <w:p w:rsidR="00000000" w:rsidRDefault="00ED3C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CC1">
    <w:pPr>
      <w:pStyle w:val="Footer"/>
      <w:tabs>
        <w:tab w:val="clear" w:pos="4320"/>
        <w:tab w:val="clear" w:pos="8640"/>
        <w:tab w:val="right" w:pos="9360"/>
      </w:tabs>
      <w:rPr>
        <w:rFonts w:ascii="Bookman Old Style" w:hAnsi="Bookman Old Style"/>
        <w:sz w:val="26"/>
      </w:rPr>
    </w:pPr>
    <w:r>
      <w:rPr>
        <w:rFonts w:ascii="Bookman Old Style" w:hAnsi="Bookman Old Style"/>
        <w:sz w:val="26"/>
      </w:rPr>
      <w:t>REVISED 2003</w:t>
    </w:r>
    <w:r>
      <w:rPr>
        <w:rFonts w:ascii="Bookman Old Style" w:hAnsi="Bookman Old Style"/>
        <w:sz w:val="26"/>
      </w:rPr>
      <w:tab/>
      <w:t xml:space="preserve">20.18A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377C91">
      <w:rPr>
        <w:rStyle w:val="PageNumber"/>
        <w:rFonts w:ascii="Bookman Old Style" w:hAnsi="Bookman Old Style"/>
        <w:noProof/>
        <w:sz w:val="26"/>
      </w:rPr>
      <w:t>1</w:t>
    </w:r>
    <w:r>
      <w:rPr>
        <w:rStyle w:val="PageNumber"/>
        <w:rFonts w:ascii="Bookman Old Style" w:hAnsi="Bookman Old Style"/>
        <w:sz w:val="26"/>
      </w:rPr>
      <w:fldChar w:fldCharType="end"/>
    </w:r>
  </w:p>
  <w:p w:rsidR="00000000" w:rsidRDefault="00ED3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3CC1">
      <w:r>
        <w:separator/>
      </w:r>
    </w:p>
  </w:footnote>
  <w:footnote w:type="continuationSeparator" w:id="0">
    <w:p w:rsidR="00000000" w:rsidRDefault="00ED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91"/>
    <w:rsid w:val="00377C91"/>
    <w:rsid w:val="00ED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lockText">
    <w:name w:val="Block Text"/>
    <w:basedOn w:val="Normal"/>
    <w:semiHidden/>
    <w:pPr>
      <w:widowControl/>
      <w:tabs>
        <w:tab w:val="left" w:pos="-720"/>
        <w:tab w:val="left" w:pos="1440"/>
      </w:tabs>
      <w:suppressAutoHyphens/>
      <w:ind w:left="720" w:right="720"/>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lockText">
    <w:name w:val="Block Text"/>
    <w:basedOn w:val="Normal"/>
    <w:semiHidden/>
    <w:pPr>
      <w:widowControl/>
      <w:tabs>
        <w:tab w:val="left" w:pos="-720"/>
        <w:tab w:val="left" w:pos="1440"/>
      </w:tabs>
      <w:suppressAutoHyphens/>
      <w:ind w:left="720" w:right="720"/>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2000-08-17T22:57:00Z</cp:lastPrinted>
  <dcterms:created xsi:type="dcterms:W3CDTF">2017-04-04T18:51:00Z</dcterms:created>
  <dcterms:modified xsi:type="dcterms:W3CDTF">2017-04-04T18:51:00Z</dcterms:modified>
</cp:coreProperties>
</file>