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448" w:rsidRPr="000553AF" w:rsidRDefault="00CC4448" w:rsidP="000553AF">
      <w:pPr>
        <w:pStyle w:val="BodyTextIndent"/>
        <w:spacing w:line="360" w:lineRule="auto"/>
        <w:rPr>
          <w:rFonts w:ascii="Bookman Old Style" w:hAnsi="Bookman Old Style"/>
          <w:b/>
          <w:bCs/>
          <w:sz w:val="26"/>
        </w:rPr>
      </w:pPr>
      <w:bookmarkStart w:id="0" w:name="_GoBack"/>
      <w:bookmarkEnd w:id="0"/>
      <w:r w:rsidRPr="000553AF">
        <w:rPr>
          <w:rFonts w:ascii="Bookman Old Style" w:hAnsi="Bookman Old Style"/>
          <w:b/>
          <w:bCs/>
          <w:sz w:val="26"/>
        </w:rPr>
        <w:t>20.20B</w:t>
      </w:r>
      <w:r w:rsidRPr="000553AF">
        <w:rPr>
          <w:rFonts w:ascii="Bookman Old Style" w:hAnsi="Bookman Old Style"/>
          <w:b/>
          <w:bCs/>
          <w:sz w:val="26"/>
        </w:rPr>
        <w:tab/>
        <w:t xml:space="preserve">AWARD OF PUNITIVE DAMAGES </w:t>
      </w:r>
    </w:p>
    <w:p w:rsidR="00CC4448" w:rsidRDefault="00CC4448" w:rsidP="000553AF">
      <w:pPr>
        <w:tabs>
          <w:tab w:val="left" w:pos="1440"/>
        </w:tabs>
        <w:suppressAutoHyphens/>
        <w:spacing w:line="360" w:lineRule="auto"/>
        <w:jc w:val="both"/>
        <w:rPr>
          <w:rFonts w:ascii="Bookman Old Style" w:hAnsi="Bookman Old Style"/>
          <w:sz w:val="26"/>
        </w:rPr>
      </w:pPr>
    </w:p>
    <w:p w:rsidR="001C389A" w:rsidRDefault="00CC4448" w:rsidP="00D57D00">
      <w:pPr>
        <w:tabs>
          <w:tab w:val="left" w:pos="1440"/>
        </w:tabs>
        <w:suppressAutoHyphens/>
        <w:spacing w:line="360" w:lineRule="auto"/>
        <w:jc w:val="both"/>
        <w:rPr>
          <w:rFonts w:ascii="Bookman Old Style" w:hAnsi="Bookman Old Style"/>
          <w:sz w:val="26"/>
        </w:rPr>
      </w:pPr>
      <w:r>
        <w:rPr>
          <w:rFonts w:ascii="Bookman Old Style" w:hAnsi="Bookman Old Style"/>
          <w:sz w:val="26"/>
        </w:rPr>
        <w:t>You have determined that the plaintiff is eligible for an award of punitive damages from [name].  Punitive damages are a separate amount of money awarded for the purpose of punishing the defendant and deterring the defendant and others from repeating similar acts.</w:t>
      </w:r>
      <w:r w:rsidR="001C389A">
        <w:rPr>
          <w:rFonts w:ascii="Bookman Old Style" w:hAnsi="Bookman Old Style"/>
          <w:sz w:val="26"/>
        </w:rPr>
        <w:t xml:space="preserve"> </w:t>
      </w:r>
      <w:r w:rsidR="007F3D64">
        <w:rPr>
          <w:rFonts w:ascii="Bookman Old Style" w:hAnsi="Bookman Old Style"/>
          <w:sz w:val="26"/>
        </w:rPr>
        <w:t xml:space="preserve">Because you have decided that </w:t>
      </w:r>
      <w:r w:rsidR="00A31C87">
        <w:rPr>
          <w:rFonts w:ascii="Bookman Old Style" w:hAnsi="Bookman Old Style"/>
          <w:sz w:val="26"/>
        </w:rPr>
        <w:t xml:space="preserve">the </w:t>
      </w:r>
      <w:r w:rsidR="007F3D64">
        <w:rPr>
          <w:rFonts w:ascii="Bookman Old Style" w:hAnsi="Bookman Old Style"/>
          <w:sz w:val="26"/>
        </w:rPr>
        <w:t>plaintiff is eligible for punitive damages, you are permitted to award punitive damages,</w:t>
      </w:r>
      <w:r w:rsidR="001C389A">
        <w:rPr>
          <w:rFonts w:ascii="Bookman Old Style" w:hAnsi="Bookman Old Style"/>
          <w:sz w:val="26"/>
        </w:rPr>
        <w:t xml:space="preserve"> but</w:t>
      </w:r>
      <w:r w:rsidR="007F3D64">
        <w:rPr>
          <w:rFonts w:ascii="Bookman Old Style" w:hAnsi="Bookman Old Style"/>
          <w:sz w:val="26"/>
        </w:rPr>
        <w:t xml:space="preserve"> you are not required to do so. </w:t>
      </w:r>
    </w:p>
    <w:p w:rsidR="001C389A" w:rsidRDefault="001C389A" w:rsidP="00D57D00">
      <w:pPr>
        <w:tabs>
          <w:tab w:val="left" w:pos="1440"/>
        </w:tabs>
        <w:suppressAutoHyphens/>
        <w:spacing w:line="360" w:lineRule="auto"/>
        <w:jc w:val="both"/>
        <w:rPr>
          <w:rFonts w:ascii="Bookman Old Style" w:hAnsi="Bookman Old Style"/>
          <w:sz w:val="26"/>
        </w:rPr>
      </w:pPr>
    </w:p>
    <w:p w:rsidR="00BC4B7B" w:rsidRDefault="00BC4B7B" w:rsidP="00D57D00">
      <w:pPr>
        <w:tabs>
          <w:tab w:val="left" w:pos="1440"/>
        </w:tabs>
        <w:suppressAutoHyphens/>
        <w:spacing w:line="360" w:lineRule="auto"/>
        <w:jc w:val="both"/>
        <w:rPr>
          <w:rFonts w:ascii="Bookman Old Style" w:hAnsi="Bookman Old Style"/>
          <w:sz w:val="26"/>
        </w:rPr>
      </w:pPr>
      <w:r>
        <w:rPr>
          <w:rFonts w:ascii="Bookman Old Style" w:hAnsi="Bookman Old Style"/>
          <w:sz w:val="26"/>
        </w:rPr>
        <w:t>In this proceeding you must decide whether to award punitive damages and, if so, the amount. In making your decision, you may consider the following factors:</w:t>
      </w:r>
    </w:p>
    <w:p w:rsidR="00BC4B7B" w:rsidRDefault="00BC4B7B" w:rsidP="00D57D00">
      <w:pPr>
        <w:tabs>
          <w:tab w:val="left" w:pos="1440"/>
        </w:tabs>
        <w:suppressAutoHyphens/>
        <w:spacing w:line="360" w:lineRule="auto"/>
        <w:jc w:val="both"/>
        <w:rPr>
          <w:rFonts w:ascii="Bookman Old Style" w:hAnsi="Bookman Old Style"/>
          <w:sz w:val="26"/>
        </w:rPr>
      </w:pPr>
    </w:p>
    <w:p w:rsidR="00CC4448" w:rsidRDefault="00CC4448" w:rsidP="00D57D00">
      <w:pPr>
        <w:numPr>
          <w:ilvl w:val="0"/>
          <w:numId w:val="1"/>
        </w:numPr>
        <w:tabs>
          <w:tab w:val="clear" w:pos="360"/>
          <w:tab w:val="left" w:pos="720"/>
        </w:tabs>
        <w:suppressAutoHyphens/>
        <w:spacing w:line="360" w:lineRule="auto"/>
        <w:ind w:left="720" w:hanging="720"/>
        <w:jc w:val="both"/>
        <w:rPr>
          <w:rFonts w:ascii="Bookman Old Style" w:hAnsi="Bookman Old Style"/>
          <w:sz w:val="26"/>
        </w:rPr>
      </w:pPr>
      <w:r>
        <w:rPr>
          <w:rFonts w:ascii="Bookman Old Style" w:hAnsi="Bookman Old Style"/>
          <w:sz w:val="26"/>
        </w:rPr>
        <w:t>the likelihood at the time of the conduct that serious harm would result from the defendant’s conduct;</w:t>
      </w:r>
    </w:p>
    <w:p w:rsidR="00CC4448" w:rsidRDefault="00CC4448" w:rsidP="00D57D00">
      <w:pPr>
        <w:tabs>
          <w:tab w:val="left" w:pos="720"/>
        </w:tabs>
        <w:suppressAutoHyphens/>
        <w:spacing w:line="360" w:lineRule="auto"/>
        <w:ind w:left="720" w:hanging="720"/>
        <w:jc w:val="both"/>
        <w:rPr>
          <w:rFonts w:ascii="Bookman Old Style" w:hAnsi="Bookman Old Style"/>
          <w:sz w:val="26"/>
        </w:rPr>
      </w:pPr>
    </w:p>
    <w:p w:rsidR="00CC4448" w:rsidRDefault="00CC4448" w:rsidP="00D57D00">
      <w:pPr>
        <w:numPr>
          <w:ilvl w:val="0"/>
          <w:numId w:val="1"/>
        </w:numPr>
        <w:tabs>
          <w:tab w:val="clear" w:pos="360"/>
          <w:tab w:val="left" w:pos="720"/>
        </w:tabs>
        <w:suppressAutoHyphens/>
        <w:spacing w:line="360" w:lineRule="auto"/>
        <w:ind w:left="720" w:hanging="720"/>
        <w:jc w:val="both"/>
        <w:rPr>
          <w:rFonts w:ascii="Bookman Old Style" w:hAnsi="Bookman Old Style"/>
          <w:sz w:val="26"/>
        </w:rPr>
      </w:pPr>
      <w:r>
        <w:rPr>
          <w:rFonts w:ascii="Bookman Old Style" w:hAnsi="Bookman Old Style"/>
          <w:sz w:val="26"/>
        </w:rPr>
        <w:t xml:space="preserve">the degree of the defendant’s awareness of the likelihood at the time of the conduct that serious harm would result from the defendant’s conduct; </w:t>
      </w:r>
    </w:p>
    <w:p w:rsidR="00CC4448" w:rsidRDefault="00CC4448" w:rsidP="00D57D00">
      <w:pPr>
        <w:tabs>
          <w:tab w:val="left" w:pos="720"/>
        </w:tabs>
        <w:suppressAutoHyphens/>
        <w:spacing w:line="360" w:lineRule="auto"/>
        <w:ind w:left="720" w:hanging="720"/>
        <w:jc w:val="both"/>
        <w:rPr>
          <w:rFonts w:ascii="Bookman Old Style" w:hAnsi="Bookman Old Style"/>
          <w:sz w:val="26"/>
        </w:rPr>
      </w:pPr>
    </w:p>
    <w:p w:rsidR="00CC4448" w:rsidRDefault="00CC4448" w:rsidP="00D57D00">
      <w:pPr>
        <w:numPr>
          <w:ilvl w:val="0"/>
          <w:numId w:val="1"/>
        </w:numPr>
        <w:tabs>
          <w:tab w:val="clear" w:pos="360"/>
          <w:tab w:val="left" w:pos="720"/>
        </w:tabs>
        <w:suppressAutoHyphens/>
        <w:spacing w:line="360" w:lineRule="auto"/>
        <w:ind w:left="720" w:hanging="720"/>
        <w:jc w:val="both"/>
        <w:rPr>
          <w:rFonts w:ascii="Bookman Old Style" w:hAnsi="Bookman Old Style"/>
          <w:sz w:val="26"/>
        </w:rPr>
      </w:pPr>
      <w:r>
        <w:rPr>
          <w:rFonts w:ascii="Bookman Old Style" w:hAnsi="Bookman Old Style"/>
          <w:sz w:val="26"/>
        </w:rPr>
        <w:t xml:space="preserve">the amount of financial gain that the defendant gained or expected to gain as a result of the defendant’s conduct; </w:t>
      </w:r>
    </w:p>
    <w:p w:rsidR="00CC4448" w:rsidRDefault="00CC4448" w:rsidP="00D57D00">
      <w:pPr>
        <w:tabs>
          <w:tab w:val="left" w:pos="720"/>
        </w:tabs>
        <w:suppressAutoHyphens/>
        <w:spacing w:line="360" w:lineRule="auto"/>
        <w:ind w:left="720" w:hanging="720"/>
        <w:jc w:val="both"/>
        <w:rPr>
          <w:rFonts w:ascii="Bookman Old Style" w:hAnsi="Bookman Old Style"/>
          <w:sz w:val="26"/>
        </w:rPr>
      </w:pPr>
    </w:p>
    <w:p w:rsidR="00CC4448" w:rsidRDefault="00CC4448" w:rsidP="00D57D00">
      <w:pPr>
        <w:numPr>
          <w:ilvl w:val="0"/>
          <w:numId w:val="4"/>
        </w:numPr>
        <w:tabs>
          <w:tab w:val="clear" w:pos="360"/>
          <w:tab w:val="left" w:pos="720"/>
        </w:tabs>
        <w:suppressAutoHyphens/>
        <w:spacing w:line="360" w:lineRule="auto"/>
        <w:ind w:left="720" w:hanging="720"/>
        <w:jc w:val="both"/>
        <w:rPr>
          <w:rFonts w:ascii="Bookman Old Style" w:hAnsi="Bookman Old Style"/>
          <w:sz w:val="26"/>
        </w:rPr>
      </w:pPr>
      <w:r>
        <w:rPr>
          <w:rFonts w:ascii="Bookman Old Style" w:hAnsi="Bookman Old Style"/>
          <w:sz w:val="26"/>
        </w:rPr>
        <w:t xml:space="preserve">the duration of the defendant’s conduct and any intentional concealment of the conduct; </w:t>
      </w:r>
    </w:p>
    <w:p w:rsidR="00CC4448" w:rsidRDefault="00CC4448" w:rsidP="00D57D00">
      <w:pPr>
        <w:tabs>
          <w:tab w:val="left" w:pos="720"/>
        </w:tabs>
        <w:suppressAutoHyphens/>
        <w:spacing w:line="360" w:lineRule="auto"/>
        <w:ind w:left="720" w:hanging="720"/>
        <w:jc w:val="both"/>
        <w:rPr>
          <w:rFonts w:ascii="Bookman Old Style" w:hAnsi="Bookman Old Style"/>
          <w:sz w:val="26"/>
        </w:rPr>
      </w:pPr>
    </w:p>
    <w:p w:rsidR="00CC4448" w:rsidRDefault="00CC4448" w:rsidP="00D57D00">
      <w:pPr>
        <w:numPr>
          <w:ilvl w:val="0"/>
          <w:numId w:val="2"/>
        </w:numPr>
        <w:tabs>
          <w:tab w:val="clear" w:pos="360"/>
          <w:tab w:val="left" w:pos="720"/>
        </w:tabs>
        <w:suppressAutoHyphens/>
        <w:spacing w:line="360" w:lineRule="auto"/>
        <w:ind w:left="720" w:hanging="720"/>
        <w:jc w:val="both"/>
        <w:rPr>
          <w:rFonts w:ascii="Bookman Old Style" w:hAnsi="Bookman Old Style"/>
          <w:sz w:val="26"/>
        </w:rPr>
      </w:pPr>
      <w:r>
        <w:rPr>
          <w:rFonts w:ascii="Bookman Old Style" w:hAnsi="Bookman Old Style"/>
          <w:sz w:val="26"/>
        </w:rPr>
        <w:t xml:space="preserve">the attitude and conduct of the defendant upon discovery of the conduct; </w:t>
      </w:r>
    </w:p>
    <w:p w:rsidR="00CC4448" w:rsidRDefault="00CC4448" w:rsidP="00D57D00">
      <w:pPr>
        <w:numPr>
          <w:ilvl w:val="0"/>
          <w:numId w:val="2"/>
        </w:numPr>
        <w:tabs>
          <w:tab w:val="clear" w:pos="360"/>
          <w:tab w:val="left" w:pos="720"/>
        </w:tabs>
        <w:suppressAutoHyphens/>
        <w:spacing w:line="360" w:lineRule="auto"/>
        <w:ind w:left="720" w:hanging="720"/>
        <w:jc w:val="both"/>
        <w:rPr>
          <w:rFonts w:ascii="Bookman Old Style" w:hAnsi="Bookman Old Style"/>
          <w:sz w:val="26"/>
        </w:rPr>
      </w:pPr>
      <w:r>
        <w:rPr>
          <w:rFonts w:ascii="Bookman Old Style" w:hAnsi="Bookman Old Style"/>
          <w:sz w:val="26"/>
        </w:rPr>
        <w:lastRenderedPageBreak/>
        <w:t>the amount of compensatory damages awarded to the plaintiff;</w:t>
      </w:r>
    </w:p>
    <w:p w:rsidR="00CC4448" w:rsidRDefault="00CC4448" w:rsidP="00D57D00">
      <w:pPr>
        <w:tabs>
          <w:tab w:val="left" w:pos="720"/>
        </w:tabs>
        <w:suppressAutoHyphens/>
        <w:spacing w:line="360" w:lineRule="auto"/>
        <w:ind w:left="720" w:hanging="720"/>
        <w:jc w:val="both"/>
        <w:rPr>
          <w:rFonts w:ascii="Bookman Old Style" w:hAnsi="Bookman Old Style"/>
          <w:sz w:val="26"/>
        </w:rPr>
      </w:pPr>
    </w:p>
    <w:p w:rsidR="00CC4448" w:rsidRDefault="00CC4448" w:rsidP="00D57D00">
      <w:pPr>
        <w:numPr>
          <w:ilvl w:val="0"/>
          <w:numId w:val="2"/>
        </w:numPr>
        <w:tabs>
          <w:tab w:val="clear" w:pos="360"/>
          <w:tab w:val="left" w:pos="720"/>
        </w:tabs>
        <w:suppressAutoHyphens/>
        <w:spacing w:line="360" w:lineRule="auto"/>
        <w:ind w:left="720" w:hanging="720"/>
        <w:jc w:val="both"/>
        <w:rPr>
          <w:rFonts w:ascii="Bookman Old Style" w:hAnsi="Bookman Old Style"/>
          <w:sz w:val="26"/>
        </w:rPr>
      </w:pPr>
      <w:r>
        <w:rPr>
          <w:rFonts w:ascii="Bookman Old Style" w:hAnsi="Bookman Old Style"/>
          <w:sz w:val="26"/>
        </w:rPr>
        <w:t>the financial condition of the defendant; and</w:t>
      </w:r>
    </w:p>
    <w:p w:rsidR="00AB47FF" w:rsidRDefault="00AB47FF" w:rsidP="00D57D00">
      <w:pPr>
        <w:tabs>
          <w:tab w:val="left" w:pos="720"/>
        </w:tabs>
        <w:suppressAutoHyphens/>
        <w:spacing w:line="360" w:lineRule="auto"/>
        <w:ind w:left="720" w:hanging="720"/>
        <w:jc w:val="both"/>
        <w:rPr>
          <w:rFonts w:ascii="Bookman Old Style" w:hAnsi="Bookman Old Style"/>
          <w:sz w:val="26"/>
        </w:rPr>
      </w:pPr>
    </w:p>
    <w:p w:rsidR="00CC4448" w:rsidRDefault="00CC4448" w:rsidP="00D57D00">
      <w:pPr>
        <w:numPr>
          <w:ilvl w:val="0"/>
          <w:numId w:val="3"/>
        </w:numPr>
        <w:tabs>
          <w:tab w:val="clear" w:pos="360"/>
          <w:tab w:val="left" w:pos="720"/>
        </w:tabs>
        <w:suppressAutoHyphens/>
        <w:spacing w:line="360" w:lineRule="auto"/>
        <w:ind w:left="720" w:hanging="720"/>
        <w:jc w:val="both"/>
        <w:rPr>
          <w:rFonts w:ascii="Bookman Old Style" w:hAnsi="Bookman Old Style"/>
          <w:sz w:val="26"/>
        </w:rPr>
      </w:pPr>
      <w:r>
        <w:rPr>
          <w:rFonts w:ascii="Bookman Old Style" w:hAnsi="Bookman Old Style"/>
          <w:sz w:val="26"/>
        </w:rPr>
        <w:t>the total deterrence of other damages and punishment imposed on the defendant as a result of the conduct, including compensatory and punitive damages awarded to other persons in situations similar to that of the plaintiff, and any criminal penalties to which the defendant has been or may be subjected.</w:t>
      </w:r>
    </w:p>
    <w:p w:rsidR="00CC4448" w:rsidRDefault="00CC4448" w:rsidP="00D57D00">
      <w:pPr>
        <w:tabs>
          <w:tab w:val="left" w:pos="1440"/>
        </w:tabs>
        <w:suppressAutoHyphens/>
        <w:spacing w:line="360" w:lineRule="auto"/>
        <w:jc w:val="both"/>
        <w:rPr>
          <w:rFonts w:ascii="Bookman Old Style" w:hAnsi="Bookman Old Style"/>
          <w:sz w:val="26"/>
        </w:rPr>
      </w:pPr>
    </w:p>
    <w:p w:rsidR="00A31C87" w:rsidRDefault="001C389A" w:rsidP="00D57D00">
      <w:pPr>
        <w:tabs>
          <w:tab w:val="left" w:pos="1440"/>
        </w:tabs>
        <w:suppressAutoHyphens/>
        <w:spacing w:line="360" w:lineRule="auto"/>
        <w:jc w:val="both"/>
        <w:rPr>
          <w:rFonts w:ascii="Bookman Old Style" w:hAnsi="Bookman Old Style"/>
          <w:sz w:val="26"/>
        </w:rPr>
      </w:pPr>
      <w:r>
        <w:rPr>
          <w:rFonts w:ascii="Bookman Old Style" w:hAnsi="Bookman Old Style"/>
          <w:sz w:val="26"/>
        </w:rPr>
        <w:t xml:space="preserve">After considering these factors, you must complete </w:t>
      </w:r>
      <w:r w:rsidR="00A31C87">
        <w:rPr>
          <w:rFonts w:ascii="Bookman Old Style" w:hAnsi="Bookman Old Style"/>
          <w:sz w:val="26"/>
        </w:rPr>
        <w:t>the verdict form.</w:t>
      </w:r>
    </w:p>
    <w:p w:rsidR="001C389A" w:rsidRDefault="001C389A" w:rsidP="00CC4448">
      <w:pPr>
        <w:pStyle w:val="center"/>
        <w:keepLines w:val="0"/>
        <w:tabs>
          <w:tab w:val="left" w:pos="1440"/>
        </w:tabs>
        <w:suppressAutoHyphens/>
        <w:spacing w:before="0"/>
        <w:rPr>
          <w:rFonts w:ascii="Bookman Old Style" w:hAnsi="Bookman Old Style"/>
          <w:u w:val="single"/>
        </w:rPr>
      </w:pPr>
    </w:p>
    <w:p w:rsidR="00CC4448" w:rsidRDefault="00CC4448" w:rsidP="00CC4448">
      <w:pPr>
        <w:pStyle w:val="center"/>
        <w:keepLines w:val="0"/>
        <w:tabs>
          <w:tab w:val="left" w:pos="1440"/>
        </w:tabs>
        <w:suppressAutoHyphens/>
        <w:spacing w:before="0"/>
        <w:rPr>
          <w:rFonts w:ascii="Bookman Old Style" w:hAnsi="Bookman Old Style"/>
          <w:u w:val="single"/>
        </w:rPr>
      </w:pPr>
      <w:r>
        <w:rPr>
          <w:rFonts w:ascii="Bookman Old Style" w:hAnsi="Bookman Old Style"/>
          <w:u w:val="single"/>
        </w:rPr>
        <w:t>Use Note</w:t>
      </w:r>
    </w:p>
    <w:p w:rsidR="00CC4448" w:rsidRDefault="00CC4448" w:rsidP="00CC4448">
      <w:pPr>
        <w:tabs>
          <w:tab w:val="left" w:pos="1440"/>
        </w:tabs>
        <w:suppressAutoHyphens/>
        <w:jc w:val="both"/>
        <w:rPr>
          <w:rFonts w:ascii="Bookman Old Style" w:hAnsi="Bookman Old Style"/>
          <w:sz w:val="26"/>
        </w:rPr>
      </w:pPr>
    </w:p>
    <w:p w:rsidR="00CC4448" w:rsidRPr="001C389A" w:rsidRDefault="00CC4448" w:rsidP="00CC4448">
      <w:pPr>
        <w:tabs>
          <w:tab w:val="left" w:pos="1440"/>
        </w:tabs>
        <w:suppressAutoHyphens/>
        <w:jc w:val="both"/>
        <w:rPr>
          <w:rFonts w:ascii="Bookman Old Style" w:hAnsi="Bookman Old Style"/>
          <w:sz w:val="26"/>
        </w:rPr>
      </w:pPr>
      <w:r>
        <w:rPr>
          <w:rFonts w:ascii="Bookman Old Style" w:hAnsi="Bookman Old Style"/>
          <w:sz w:val="26"/>
        </w:rPr>
        <w:t>AS 09.10.020 provides for a two-phase procedure for awarding punitive damages.  The first phase</w:t>
      </w:r>
      <w:r w:rsidR="00AB47FF">
        <w:rPr>
          <w:rFonts w:ascii="Bookman Old Style" w:hAnsi="Bookman Old Style"/>
          <w:sz w:val="26"/>
        </w:rPr>
        <w:t xml:space="preserve"> – </w:t>
      </w:r>
      <w:r>
        <w:rPr>
          <w:rFonts w:ascii="Bookman Old Style" w:hAnsi="Bookman Old Style"/>
          <w:sz w:val="26"/>
        </w:rPr>
        <w:t>eligi</w:t>
      </w:r>
      <w:r w:rsidR="00AB47FF">
        <w:rPr>
          <w:rFonts w:ascii="Bookman Old Style" w:hAnsi="Bookman Old Style"/>
          <w:sz w:val="26"/>
        </w:rPr>
        <w:t xml:space="preserve">bility for punitive damages – </w:t>
      </w:r>
      <w:r>
        <w:rPr>
          <w:rFonts w:ascii="Bookman Old Style" w:hAnsi="Bookman Old Style"/>
          <w:sz w:val="26"/>
        </w:rPr>
        <w:t>is addressed in the jury’s initial deliberations.  If the jury decides that the plaintiff is eligible for punitive damages, the parties may present evidence and argument regarding whether punitive damages should be awarded, and the amount of the award, and the jury will deliberate a second time.  Instruction 20.20B is intend</w:t>
      </w:r>
      <w:r w:rsidR="001C389A">
        <w:rPr>
          <w:rFonts w:ascii="Bookman Old Style" w:hAnsi="Bookman Old Style"/>
          <w:sz w:val="26"/>
        </w:rPr>
        <w:t xml:space="preserve">ed for the second phase. </w:t>
      </w:r>
      <w:r w:rsidR="000553AF">
        <w:rPr>
          <w:rFonts w:ascii="Bookman Old Style" w:hAnsi="Bookman Old Style"/>
          <w:sz w:val="26"/>
        </w:rPr>
        <w:t xml:space="preserve"> </w:t>
      </w:r>
      <w:r w:rsidRPr="001C389A">
        <w:rPr>
          <w:rFonts w:ascii="Bookman Old Style" w:hAnsi="Bookman Old Style"/>
          <w:sz w:val="26"/>
        </w:rPr>
        <w:t>It instructs the jury on the factors that it may</w:t>
      </w:r>
      <w:r w:rsidR="001C389A" w:rsidRPr="001C389A">
        <w:rPr>
          <w:rFonts w:ascii="Bookman Old Style" w:hAnsi="Bookman Old Style"/>
          <w:sz w:val="26"/>
        </w:rPr>
        <w:t xml:space="preserve"> consider in determining </w:t>
      </w:r>
      <w:r w:rsidRPr="001C389A">
        <w:rPr>
          <w:rFonts w:ascii="Bookman Old Style" w:hAnsi="Bookman Old Style"/>
          <w:sz w:val="26"/>
        </w:rPr>
        <w:t>the amount of the punitive damages award.</w:t>
      </w:r>
    </w:p>
    <w:p w:rsidR="00CC4448" w:rsidRDefault="00CC4448" w:rsidP="00CC4448">
      <w:pPr>
        <w:tabs>
          <w:tab w:val="left" w:pos="1440"/>
        </w:tabs>
        <w:suppressAutoHyphens/>
        <w:jc w:val="both"/>
        <w:rPr>
          <w:rFonts w:ascii="Bookman Old Style" w:hAnsi="Bookman Old Style"/>
          <w:sz w:val="26"/>
        </w:rPr>
      </w:pPr>
    </w:p>
    <w:p w:rsidR="00AB47FF" w:rsidRPr="00AB47FF" w:rsidRDefault="00AB47FF" w:rsidP="00CC4448">
      <w:pPr>
        <w:tabs>
          <w:tab w:val="left" w:pos="1440"/>
        </w:tabs>
        <w:suppressAutoHyphens/>
        <w:jc w:val="both"/>
        <w:rPr>
          <w:rFonts w:ascii="Bookman Old Style" w:hAnsi="Bookman Old Style"/>
          <w:sz w:val="26"/>
        </w:rPr>
      </w:pPr>
      <w:r>
        <w:rPr>
          <w:rFonts w:ascii="Bookman Old Style" w:hAnsi="Bookman Old Style"/>
          <w:sz w:val="26"/>
        </w:rPr>
        <w:t xml:space="preserve">In cases where a criminal conviction provides the basis for an award of punitive damages, the first sentence of this instruction should be changed to read: “The plaintiff is eligible for an award of punitive damages from [name].” </w:t>
      </w:r>
      <w:r w:rsidR="000553AF">
        <w:rPr>
          <w:rFonts w:ascii="Bookman Old Style" w:hAnsi="Bookman Old Style"/>
          <w:sz w:val="26"/>
        </w:rPr>
        <w:t xml:space="preserve"> </w:t>
      </w:r>
      <w:r w:rsidRPr="00D57D00">
        <w:rPr>
          <w:rFonts w:ascii="Bookman Old Style" w:hAnsi="Bookman Old Style"/>
          <w:i/>
          <w:iCs/>
          <w:sz w:val="26"/>
        </w:rPr>
        <w:t xml:space="preserve">See Lamb v. </w:t>
      </w:r>
      <w:smartTag w:uri="urn:schemas-microsoft-com:office:smarttags" w:element="City">
        <w:smartTag w:uri="urn:schemas-microsoft-com:office:smarttags" w:element="place">
          <w:r w:rsidRPr="00D57D00">
            <w:rPr>
              <w:rFonts w:ascii="Bookman Old Style" w:hAnsi="Bookman Old Style"/>
              <w:i/>
              <w:iCs/>
              <w:sz w:val="26"/>
            </w:rPr>
            <w:t>Anderson</w:t>
          </w:r>
        </w:smartTag>
      </w:smartTag>
      <w:r>
        <w:rPr>
          <w:rFonts w:ascii="Bookman Old Style" w:hAnsi="Bookman Old Style"/>
          <w:sz w:val="26"/>
        </w:rPr>
        <w:t>, 147 P.3d 736 (Alaska 2006).</w:t>
      </w:r>
    </w:p>
    <w:p w:rsidR="00AB47FF" w:rsidRDefault="00AB47FF" w:rsidP="00CC4448">
      <w:pPr>
        <w:tabs>
          <w:tab w:val="left" w:pos="1440"/>
        </w:tabs>
        <w:suppressAutoHyphens/>
        <w:jc w:val="both"/>
        <w:rPr>
          <w:rFonts w:ascii="Bookman Old Style" w:hAnsi="Bookman Old Style"/>
          <w:sz w:val="26"/>
        </w:rPr>
      </w:pPr>
    </w:p>
    <w:p w:rsidR="00CC4448" w:rsidRDefault="00CC4448" w:rsidP="00CC4448">
      <w:pPr>
        <w:tabs>
          <w:tab w:val="left" w:pos="1440"/>
        </w:tabs>
        <w:suppressAutoHyphens/>
        <w:jc w:val="both"/>
        <w:rPr>
          <w:rFonts w:ascii="Bookman Old Style" w:hAnsi="Bookman Old Style"/>
          <w:sz w:val="26"/>
        </w:rPr>
      </w:pPr>
      <w:r>
        <w:rPr>
          <w:rFonts w:ascii="Bookman Old Style" w:hAnsi="Bookman Old Style"/>
          <w:sz w:val="26"/>
        </w:rPr>
        <w:t>There is an unresolved legal issue concerning whether the jury should be informed of the State's right to receive fifty percent of the punitive damages award.  The Committee expresses no opinion concerning this legal issue.  If the trial judge determines that the jury should be informed regarding the State's receipt of fifty percent of this award, this instruction must be modified accordingly.</w:t>
      </w:r>
    </w:p>
    <w:p w:rsidR="00CC4448" w:rsidRDefault="00CC4448" w:rsidP="00CC4448">
      <w:pPr>
        <w:tabs>
          <w:tab w:val="left" w:pos="1440"/>
        </w:tabs>
        <w:suppressAutoHyphens/>
        <w:jc w:val="both"/>
        <w:rPr>
          <w:rFonts w:ascii="Bookman Old Style" w:hAnsi="Bookman Old Style"/>
          <w:sz w:val="26"/>
        </w:rPr>
      </w:pPr>
      <w:r>
        <w:rPr>
          <w:rFonts w:ascii="Bookman Old Style" w:hAnsi="Bookman Old Style"/>
          <w:sz w:val="26"/>
        </w:rPr>
        <w:lastRenderedPageBreak/>
        <w:t>A special verdict form is provided at 20.20C.</w:t>
      </w:r>
    </w:p>
    <w:p w:rsidR="00CC4448" w:rsidRDefault="00CC4448" w:rsidP="00CC4448">
      <w:pPr>
        <w:pStyle w:val="center"/>
        <w:tabs>
          <w:tab w:val="left" w:pos="1440"/>
        </w:tabs>
        <w:suppressAutoHyphens/>
        <w:spacing w:before="0"/>
        <w:jc w:val="left"/>
        <w:rPr>
          <w:rFonts w:ascii="Bookman Old Style" w:hAnsi="Bookman Old Style"/>
          <w:u w:val="single"/>
        </w:rPr>
      </w:pPr>
    </w:p>
    <w:p w:rsidR="00CC4448" w:rsidRDefault="00CC4448" w:rsidP="00CC4448">
      <w:pPr>
        <w:pStyle w:val="center"/>
        <w:tabs>
          <w:tab w:val="left" w:pos="1440"/>
        </w:tabs>
        <w:suppressAutoHyphens/>
        <w:spacing w:before="0"/>
        <w:rPr>
          <w:rFonts w:ascii="Bookman Old Style" w:hAnsi="Bookman Old Style"/>
          <w:u w:val="single"/>
        </w:rPr>
      </w:pPr>
      <w:r>
        <w:rPr>
          <w:rFonts w:ascii="Bookman Old Style" w:hAnsi="Bookman Old Style"/>
          <w:u w:val="single"/>
        </w:rPr>
        <w:t>Comment</w:t>
      </w:r>
    </w:p>
    <w:p w:rsidR="00CC4448" w:rsidRDefault="00CC4448" w:rsidP="00CC4448">
      <w:pPr>
        <w:pStyle w:val="center"/>
        <w:tabs>
          <w:tab w:val="left" w:pos="1440"/>
        </w:tabs>
        <w:suppressAutoHyphens/>
        <w:spacing w:before="0"/>
        <w:jc w:val="both"/>
        <w:rPr>
          <w:rFonts w:ascii="Bookman Old Style" w:hAnsi="Bookman Old Style"/>
        </w:rPr>
      </w:pPr>
    </w:p>
    <w:p w:rsidR="005C7075" w:rsidRDefault="005C7075" w:rsidP="005C7075">
      <w:pPr>
        <w:tabs>
          <w:tab w:val="left" w:pos="-720"/>
          <w:tab w:val="left" w:pos="1440"/>
        </w:tabs>
        <w:suppressAutoHyphens/>
        <w:jc w:val="both"/>
        <w:rPr>
          <w:rFonts w:ascii="Bookman Old Style" w:hAnsi="Bookman Old Style"/>
          <w:spacing w:val="-3"/>
          <w:sz w:val="26"/>
        </w:rPr>
      </w:pPr>
      <w:r>
        <w:rPr>
          <w:rFonts w:ascii="Bookman Old Style" w:hAnsi="Bookman Old Style"/>
          <w:spacing w:val="-3"/>
          <w:sz w:val="26"/>
        </w:rPr>
        <w:t xml:space="preserve">Factors to be considered by the jury in determining the amount of a punitive damage award are identified in AS 09.17.020(c).  </w:t>
      </w:r>
      <w:r w:rsidRPr="00667A4C">
        <w:rPr>
          <w:rFonts w:ascii="Bookman Old Style" w:hAnsi="Bookman Old Style"/>
          <w:i/>
          <w:spacing w:val="-3"/>
          <w:sz w:val="26"/>
        </w:rPr>
        <w:t>See Central Bering Sea Fishermen's Ass'n v. Anderson</w:t>
      </w:r>
      <w:r>
        <w:rPr>
          <w:rFonts w:ascii="Bookman Old Style" w:hAnsi="Bookman Old Style"/>
          <w:spacing w:val="-3"/>
          <w:sz w:val="26"/>
        </w:rPr>
        <w:t xml:space="preserve">, 54 P.3d 271, 282 (Alaska 2002) (applying statutory factors).  </w:t>
      </w:r>
    </w:p>
    <w:p w:rsidR="005C7075" w:rsidRDefault="005C7075" w:rsidP="005C7075">
      <w:pPr>
        <w:tabs>
          <w:tab w:val="left" w:pos="-720"/>
          <w:tab w:val="left" w:pos="1440"/>
        </w:tabs>
        <w:suppressAutoHyphens/>
        <w:jc w:val="both"/>
        <w:rPr>
          <w:rFonts w:ascii="Bookman Old Style" w:hAnsi="Bookman Old Style"/>
          <w:spacing w:val="-3"/>
          <w:sz w:val="26"/>
        </w:rPr>
      </w:pPr>
    </w:p>
    <w:p w:rsidR="00C10518" w:rsidRDefault="00C10518" w:rsidP="00C10518">
      <w:pPr>
        <w:tabs>
          <w:tab w:val="left" w:pos="-720"/>
          <w:tab w:val="left" w:pos="1440"/>
        </w:tabs>
        <w:suppressAutoHyphens/>
        <w:jc w:val="both"/>
        <w:rPr>
          <w:rFonts w:ascii="Bookman Old Style" w:hAnsi="Bookman Old Style"/>
          <w:sz w:val="26"/>
        </w:rPr>
      </w:pPr>
      <w:r>
        <w:rPr>
          <w:rFonts w:ascii="Bookman Old Style" w:hAnsi="Bookman Old Style"/>
          <w:spacing w:val="-3"/>
          <w:sz w:val="26"/>
        </w:rPr>
        <w:t>Statutory caps limit the amount of punitive damages that may be awarded.  AS 09.17.020(f), (g), (h).  The jury is not instructed</w:t>
      </w:r>
      <w:r>
        <w:rPr>
          <w:rFonts w:ascii="Bookman Old Style" w:hAnsi="Bookman Old Style"/>
          <w:sz w:val="26"/>
        </w:rPr>
        <w:t xml:space="preserve"> on the existence of the statutory caps.  </w:t>
      </w:r>
      <w:r w:rsidRPr="00667A4C">
        <w:rPr>
          <w:rFonts w:ascii="Bookman Old Style" w:hAnsi="Bookman Old Style"/>
          <w:i/>
          <w:sz w:val="26"/>
        </w:rPr>
        <w:t>Central Bering Sea Fishermen’s Ass’n v. Anderson</w:t>
      </w:r>
      <w:r>
        <w:rPr>
          <w:rFonts w:ascii="Bookman Old Style" w:hAnsi="Bookman Old Style"/>
          <w:sz w:val="26"/>
        </w:rPr>
        <w:t xml:space="preserve">, 54 P.3d 271, 281 (Alaska 2002).  </w:t>
      </w:r>
      <w:r w:rsidR="0075108A">
        <w:rPr>
          <w:rFonts w:ascii="Bookman Old Style" w:hAnsi="Bookman Old Style"/>
          <w:sz w:val="26"/>
        </w:rPr>
        <w:t xml:space="preserve">In a case where the plaintiff claims that the higher caps allowed by AS 09.17.020(g) apply, the jury must </w:t>
      </w:r>
      <w:r>
        <w:rPr>
          <w:rFonts w:ascii="Bookman Old Style" w:hAnsi="Bookman Old Style"/>
          <w:sz w:val="26"/>
        </w:rPr>
        <w:t xml:space="preserve">answer questions </w:t>
      </w:r>
      <w:r w:rsidR="0075108A">
        <w:rPr>
          <w:rFonts w:ascii="Bookman Old Style" w:hAnsi="Bookman Old Style"/>
          <w:sz w:val="26"/>
        </w:rPr>
        <w:t xml:space="preserve">relevant to the application of the higher caps.  </w:t>
      </w:r>
      <w:r>
        <w:rPr>
          <w:rFonts w:ascii="Bookman Old Style" w:hAnsi="Bookman Old Style"/>
          <w:sz w:val="26"/>
        </w:rPr>
        <w:t xml:space="preserve">These questions must be incorporated into the special verdict form that is submitted to the jury at the end of the second phase.  </w:t>
      </w:r>
      <w:r w:rsidR="0075108A" w:rsidRPr="00D57D00">
        <w:rPr>
          <w:rFonts w:ascii="Bookman Old Style" w:hAnsi="Bookman Old Style"/>
          <w:i/>
          <w:iCs/>
          <w:sz w:val="26"/>
        </w:rPr>
        <w:t>See</w:t>
      </w:r>
      <w:r w:rsidR="0075108A">
        <w:rPr>
          <w:rFonts w:ascii="Bookman Old Style" w:hAnsi="Bookman Old Style"/>
          <w:sz w:val="26"/>
        </w:rPr>
        <w:t xml:space="preserve"> Pattern Instruction 20.20C.</w:t>
      </w:r>
    </w:p>
    <w:p w:rsidR="00C10518" w:rsidRDefault="00C10518" w:rsidP="005C7075">
      <w:pPr>
        <w:tabs>
          <w:tab w:val="left" w:pos="-720"/>
          <w:tab w:val="left" w:pos="1440"/>
        </w:tabs>
        <w:suppressAutoHyphens/>
        <w:jc w:val="both"/>
        <w:rPr>
          <w:rFonts w:ascii="Bookman Old Style" w:hAnsi="Bookman Old Style"/>
          <w:spacing w:val="-3"/>
          <w:sz w:val="26"/>
        </w:rPr>
      </w:pPr>
    </w:p>
    <w:p w:rsidR="005C7075" w:rsidRDefault="009E3775" w:rsidP="005C7075">
      <w:pPr>
        <w:tabs>
          <w:tab w:val="left" w:pos="-720"/>
          <w:tab w:val="left" w:pos="1440"/>
        </w:tabs>
        <w:suppressAutoHyphens/>
        <w:jc w:val="both"/>
        <w:rPr>
          <w:rFonts w:ascii="Bookman Old Style" w:hAnsi="Bookman Old Style"/>
          <w:spacing w:val="-3"/>
          <w:sz w:val="26"/>
        </w:rPr>
      </w:pPr>
      <w:r>
        <w:rPr>
          <w:rFonts w:ascii="Bookman Old Style" w:hAnsi="Bookman Old Style"/>
          <w:spacing w:val="-3"/>
          <w:sz w:val="26"/>
        </w:rPr>
        <w:t xml:space="preserve">Other than the ratios stated in AS 09.17.020(f) and (g), </w:t>
      </w:r>
      <w:smartTag w:uri="urn:schemas-microsoft-com:office:smarttags" w:element="State">
        <w:smartTag w:uri="urn:schemas-microsoft-com:office:smarttags" w:element="place">
          <w:r w:rsidR="005C7075">
            <w:rPr>
              <w:rFonts w:ascii="Bookman Old Style" w:hAnsi="Bookman Old Style"/>
              <w:spacing w:val="-3"/>
              <w:sz w:val="26"/>
            </w:rPr>
            <w:t>Alaska</w:t>
          </w:r>
        </w:smartTag>
      </w:smartTag>
      <w:r w:rsidR="005C7075">
        <w:rPr>
          <w:rFonts w:ascii="Bookman Old Style" w:hAnsi="Bookman Old Style"/>
          <w:spacing w:val="-3"/>
          <w:sz w:val="26"/>
        </w:rPr>
        <w:t xml:space="preserve"> law does not prescribe a fixed ratio, or range of ratios, between compensatory and punitive damages.  </w:t>
      </w:r>
      <w:r w:rsidR="005C7075" w:rsidRPr="00667A4C">
        <w:rPr>
          <w:rFonts w:ascii="Bookman Old Style" w:hAnsi="Bookman Old Style"/>
          <w:i/>
          <w:spacing w:val="-3"/>
          <w:sz w:val="26"/>
        </w:rPr>
        <w:t>Casciola v. F.S. Air Service, Inc.</w:t>
      </w:r>
      <w:r w:rsidR="005C7075">
        <w:rPr>
          <w:rFonts w:ascii="Bookman Old Style" w:hAnsi="Bookman Old Style"/>
          <w:spacing w:val="-3"/>
          <w:sz w:val="26"/>
        </w:rPr>
        <w:t xml:space="preserve">, 120 P.3d 1059, 1064 (Alaska 2005).  The Alaska Supreme Court's reluctance to adopt a fixed ratio is motivated in part by the fact that punitive damage awards must be tailored to case-specific facts.  Where compensatory damages may be small relative to the cost of litigation, or where the nature of a tortfeasor's scheme makes deterrence and punishment difficult, a higher ratio may be necessary.  </w:t>
      </w:r>
      <w:smartTag w:uri="urn:schemas-microsoft-com:office:smarttags" w:element="State">
        <w:smartTag w:uri="urn:schemas-microsoft-com:office:smarttags" w:element="place">
          <w:r w:rsidR="005C7075" w:rsidRPr="00667A4C">
            <w:rPr>
              <w:rFonts w:ascii="Bookman Old Style" w:hAnsi="Bookman Old Style"/>
              <w:i/>
              <w:spacing w:val="-3"/>
              <w:sz w:val="26"/>
            </w:rPr>
            <w:t>Id</w:t>
          </w:r>
          <w:r w:rsidR="005C7075">
            <w:rPr>
              <w:rFonts w:ascii="Bookman Old Style" w:hAnsi="Bookman Old Style"/>
              <w:spacing w:val="-3"/>
              <w:sz w:val="26"/>
            </w:rPr>
            <w:t>.</w:t>
          </w:r>
        </w:smartTag>
      </w:smartTag>
      <w:r w:rsidR="005C7075">
        <w:rPr>
          <w:rFonts w:ascii="Bookman Old Style" w:hAnsi="Bookman Old Style"/>
          <w:spacing w:val="-3"/>
          <w:sz w:val="26"/>
        </w:rPr>
        <w:t xml:space="preserve"> at 1065.    </w:t>
      </w:r>
    </w:p>
    <w:p w:rsidR="005C7075" w:rsidRDefault="005C7075" w:rsidP="005C7075">
      <w:pPr>
        <w:tabs>
          <w:tab w:val="left" w:pos="-720"/>
          <w:tab w:val="left" w:pos="1440"/>
        </w:tabs>
        <w:suppressAutoHyphens/>
        <w:jc w:val="both"/>
        <w:rPr>
          <w:rFonts w:ascii="Bookman Old Style" w:hAnsi="Bookman Old Style"/>
          <w:spacing w:val="-3"/>
          <w:sz w:val="26"/>
        </w:rPr>
      </w:pPr>
    </w:p>
    <w:p w:rsidR="005C7075" w:rsidRDefault="005C7075" w:rsidP="00D57D00">
      <w:pPr>
        <w:tabs>
          <w:tab w:val="left" w:pos="-720"/>
          <w:tab w:val="left" w:pos="1440"/>
        </w:tabs>
        <w:suppressAutoHyphens/>
        <w:jc w:val="both"/>
        <w:rPr>
          <w:rFonts w:ascii="Bookman Old Style" w:hAnsi="Bookman Old Style"/>
          <w:spacing w:val="-3"/>
          <w:sz w:val="26"/>
        </w:rPr>
      </w:pPr>
      <w:r>
        <w:rPr>
          <w:rFonts w:ascii="Bookman Old Style" w:hAnsi="Bookman Old Style"/>
          <w:spacing w:val="-3"/>
          <w:sz w:val="26"/>
        </w:rPr>
        <w:t xml:space="preserve">The Supreme Court has reviewed punitive damage awards for excessiveness and has affirmed awards made at a variety of ratios of punitive damages to actual damages.  </w:t>
      </w:r>
      <w:r w:rsidRPr="00667A4C">
        <w:rPr>
          <w:rFonts w:ascii="Bookman Old Style" w:hAnsi="Bookman Old Style"/>
          <w:i/>
          <w:spacing w:val="-3"/>
          <w:sz w:val="26"/>
        </w:rPr>
        <w:t>See, e.g., State v. Carpenter</w:t>
      </w:r>
      <w:r>
        <w:rPr>
          <w:rFonts w:ascii="Bookman Old Style" w:hAnsi="Bookman Old Style"/>
          <w:spacing w:val="-3"/>
          <w:sz w:val="26"/>
        </w:rPr>
        <w:t>, 171 P.3d 41</w:t>
      </w:r>
      <w:r w:rsidR="00936F15">
        <w:rPr>
          <w:rFonts w:ascii="Bookman Old Style" w:hAnsi="Bookman Old Style"/>
          <w:spacing w:val="-3"/>
          <w:sz w:val="26"/>
        </w:rPr>
        <w:t>, 65-66</w:t>
      </w:r>
      <w:r>
        <w:rPr>
          <w:rFonts w:ascii="Bookman Old Style" w:hAnsi="Bookman Old Style"/>
          <w:spacing w:val="-3"/>
          <w:sz w:val="26"/>
        </w:rPr>
        <w:t xml:space="preserve"> (Alaska 2007) (30 to 1 ratio); </w:t>
      </w:r>
      <w:r w:rsidRPr="00667A4C">
        <w:rPr>
          <w:rFonts w:ascii="Bookman Old Style" w:hAnsi="Bookman Old Style"/>
          <w:i/>
          <w:spacing w:val="-3"/>
          <w:sz w:val="26"/>
        </w:rPr>
        <w:t>Casciola</w:t>
      </w:r>
      <w:r>
        <w:rPr>
          <w:rFonts w:ascii="Bookman Old Style" w:hAnsi="Bookman Old Style"/>
          <w:spacing w:val="-3"/>
          <w:sz w:val="26"/>
        </w:rPr>
        <w:t xml:space="preserve">, 120 P.3d at 1064-66 (10 to 1 ratio) and 1064 n.16 (compiling Alaska cases on punitive/compensatory damage ratio); </w:t>
      </w:r>
      <w:r w:rsidRPr="00D57D00">
        <w:rPr>
          <w:rFonts w:ascii="Bookman Old Style" w:hAnsi="Bookman Old Style"/>
          <w:i/>
          <w:iCs/>
          <w:spacing w:val="-3"/>
          <w:sz w:val="26"/>
        </w:rPr>
        <w:t>Central Bering Sea</w:t>
      </w:r>
      <w:r>
        <w:rPr>
          <w:rFonts w:ascii="Bookman Old Style" w:hAnsi="Bookman Old Style"/>
          <w:spacing w:val="-3"/>
          <w:sz w:val="26"/>
        </w:rPr>
        <w:t xml:space="preserve">, 54 P.3d at 285 (8 to 1 and 4 to 1 ratios); </w:t>
      </w:r>
      <w:r w:rsidRPr="00D57D00">
        <w:rPr>
          <w:rFonts w:ascii="Bookman Old Style" w:hAnsi="Bookman Old Style"/>
          <w:i/>
          <w:iCs/>
          <w:spacing w:val="-3"/>
          <w:sz w:val="26"/>
        </w:rPr>
        <w:t>IBEW v. Alaska Utility Constr. Inc.</w:t>
      </w:r>
      <w:r>
        <w:rPr>
          <w:rFonts w:ascii="Bookman Old Style" w:hAnsi="Bookman Old Style"/>
          <w:spacing w:val="-3"/>
          <w:sz w:val="26"/>
        </w:rPr>
        <w:t xml:space="preserve">, 976 P.2d 852 (Alaska 1999) (18 to 1 ratio); </w:t>
      </w:r>
      <w:r w:rsidRPr="00D57D00">
        <w:rPr>
          <w:rFonts w:ascii="Bookman Old Style" w:hAnsi="Bookman Old Style"/>
          <w:i/>
          <w:iCs/>
          <w:spacing w:val="-3"/>
          <w:sz w:val="26"/>
        </w:rPr>
        <w:t>Teamsters Local 959 v. Wells,</w:t>
      </w:r>
      <w:r>
        <w:rPr>
          <w:rFonts w:ascii="Bookman Old Style" w:hAnsi="Bookman Old Style"/>
          <w:spacing w:val="-3"/>
          <w:sz w:val="26"/>
        </w:rPr>
        <w:t xml:space="preserve"> 749 P.2d 349, 361 n. 26 (Alaska 1988) (less than 3 to 1 ratio); </w:t>
      </w:r>
      <w:r w:rsidRPr="00D57D00">
        <w:rPr>
          <w:rFonts w:ascii="Bookman Old Style" w:hAnsi="Bookman Old Style"/>
          <w:i/>
          <w:iCs/>
          <w:spacing w:val="-3"/>
          <w:sz w:val="26"/>
        </w:rPr>
        <w:t>Alaska Insurance Co. v. Movin’ On Construction, Inc.,</w:t>
      </w:r>
      <w:r>
        <w:rPr>
          <w:rFonts w:ascii="Bookman Old Style" w:hAnsi="Bookman Old Style"/>
          <w:spacing w:val="-3"/>
          <w:sz w:val="26"/>
        </w:rPr>
        <w:t xml:space="preserve"> 718 P.2d 472 (Alaska 1986) (3 to 1 ratio); </w:t>
      </w:r>
      <w:r w:rsidRPr="00D57D00">
        <w:rPr>
          <w:rFonts w:ascii="Bookman Old Style" w:hAnsi="Bookman Old Style"/>
          <w:i/>
          <w:iCs/>
          <w:spacing w:val="-3"/>
          <w:sz w:val="26"/>
        </w:rPr>
        <w:t>Ben Lomond, Inc. v. Campbell,</w:t>
      </w:r>
      <w:r>
        <w:rPr>
          <w:rFonts w:ascii="Bookman Old Style" w:hAnsi="Bookman Old Style"/>
          <w:spacing w:val="-3"/>
          <w:sz w:val="26"/>
        </w:rPr>
        <w:t xml:space="preserve"> 691 P.2d 1042, 1048 (Alaska 1984) (2.38 to 1 ratio);</w:t>
      </w:r>
      <w:r w:rsidRPr="00B31776">
        <w:rPr>
          <w:rFonts w:ascii="Bookman Old Style" w:hAnsi="Bookman Old Style"/>
          <w:i/>
          <w:iCs/>
          <w:spacing w:val="-3"/>
          <w:sz w:val="26"/>
        </w:rPr>
        <w:t xml:space="preserve"> Alaska Statebank v. Fairco, </w:t>
      </w:r>
      <w:r>
        <w:rPr>
          <w:rFonts w:ascii="Bookman Old Style" w:hAnsi="Bookman Old Style"/>
          <w:spacing w:val="-3"/>
          <w:sz w:val="26"/>
        </w:rPr>
        <w:t xml:space="preserve">674 P.2d 288, 291, 294 (Alaska 1983) (2.53 to 1 ratio); </w:t>
      </w:r>
      <w:r w:rsidRPr="00D57D00">
        <w:rPr>
          <w:rFonts w:ascii="Bookman Old Style" w:hAnsi="Bookman Old Style"/>
          <w:i/>
          <w:iCs/>
          <w:spacing w:val="-3"/>
          <w:sz w:val="26"/>
        </w:rPr>
        <w:t>Clary Insurance Agency v. Doyle,</w:t>
      </w:r>
      <w:r>
        <w:rPr>
          <w:rFonts w:ascii="Bookman Old Style" w:hAnsi="Bookman Old Style"/>
          <w:spacing w:val="-3"/>
          <w:sz w:val="26"/>
        </w:rPr>
        <w:t xml:space="preserve"> 620 P.2d 194, 205 (Alaska 1980) (2 to 1 ratio).  In some instances, the Supreme Court has ordered remittitur of punitive damage awards.  </w:t>
      </w:r>
      <w:r w:rsidRPr="00D57D00">
        <w:rPr>
          <w:rFonts w:ascii="Bookman Old Style" w:hAnsi="Bookman Old Style"/>
          <w:i/>
          <w:iCs/>
          <w:spacing w:val="-3"/>
          <w:sz w:val="26"/>
        </w:rPr>
        <w:t>See, e.g., Laidlaw Transit, Inc. v. Crouse,</w:t>
      </w:r>
      <w:r>
        <w:rPr>
          <w:rFonts w:ascii="Bookman Old Style" w:hAnsi="Bookman Old Style"/>
          <w:spacing w:val="-3"/>
          <w:sz w:val="26"/>
        </w:rPr>
        <w:t xml:space="preserve"> 53 P.3d 1093 (Alaska 2002) (affirming remittitur reducing punitive damage</w:t>
      </w:r>
      <w:r w:rsidR="00667A4C">
        <w:rPr>
          <w:rFonts w:ascii="Bookman Old Style" w:hAnsi="Bookman Old Style"/>
          <w:spacing w:val="-3"/>
          <w:sz w:val="26"/>
        </w:rPr>
        <w:t>s from $3.5 million to $500,000</w:t>
      </w:r>
      <w:r>
        <w:rPr>
          <w:rFonts w:ascii="Bookman Old Style" w:hAnsi="Bookman Old Style"/>
          <w:spacing w:val="-3"/>
          <w:sz w:val="26"/>
        </w:rPr>
        <w:t xml:space="preserve"> on a compensatory damage award of $19,259); </w:t>
      </w:r>
      <w:r w:rsidRPr="00D57D00">
        <w:rPr>
          <w:rFonts w:ascii="Bookman Old Style" w:hAnsi="Bookman Old Style"/>
          <w:i/>
          <w:iCs/>
          <w:spacing w:val="-3"/>
          <w:sz w:val="26"/>
        </w:rPr>
        <w:t>Era Aviation, Inc. v. Lindfors</w:t>
      </w:r>
      <w:r w:rsidR="00667A4C" w:rsidRPr="00D57D00">
        <w:rPr>
          <w:rFonts w:ascii="Bookman Old Style" w:hAnsi="Bookman Old Style"/>
          <w:i/>
          <w:iCs/>
          <w:spacing w:val="-3"/>
          <w:sz w:val="26"/>
        </w:rPr>
        <w:t>,</w:t>
      </w:r>
      <w:r w:rsidR="00667A4C">
        <w:rPr>
          <w:rFonts w:ascii="Bookman Old Style" w:hAnsi="Bookman Old Style"/>
          <w:spacing w:val="-3"/>
          <w:sz w:val="26"/>
        </w:rPr>
        <w:t xml:space="preserve"> 17</w:t>
      </w:r>
      <w:r>
        <w:rPr>
          <w:rFonts w:ascii="Bookman Old Style" w:hAnsi="Bookman Old Style"/>
          <w:spacing w:val="-3"/>
          <w:sz w:val="26"/>
        </w:rPr>
        <w:t xml:space="preserve"> P.3d 40, 48 (Alaska 2000) (ordering trial court to remit $725,000 pu</w:t>
      </w:r>
      <w:r w:rsidR="00667A4C">
        <w:rPr>
          <w:rFonts w:ascii="Bookman Old Style" w:hAnsi="Bookman Old Style"/>
          <w:spacing w:val="-3"/>
          <w:sz w:val="26"/>
        </w:rPr>
        <w:t>nitive damage award to $500,000</w:t>
      </w:r>
      <w:r>
        <w:rPr>
          <w:rFonts w:ascii="Bookman Old Style" w:hAnsi="Bookman Old Style"/>
          <w:spacing w:val="-3"/>
          <w:sz w:val="26"/>
        </w:rPr>
        <w:t xml:space="preserve"> on $50,000 compensatory damage award); </w:t>
      </w:r>
      <w:r w:rsidRPr="00D57D00">
        <w:rPr>
          <w:rFonts w:ascii="Bookman Old Style" w:hAnsi="Bookman Old Style"/>
          <w:i/>
          <w:iCs/>
          <w:spacing w:val="-3"/>
          <w:sz w:val="26"/>
        </w:rPr>
        <w:t>Norcon, Inc. v. Kotowski,</w:t>
      </w:r>
      <w:r>
        <w:rPr>
          <w:rFonts w:ascii="Bookman Old Style" w:hAnsi="Bookman Old Style"/>
          <w:spacing w:val="-3"/>
          <w:sz w:val="26"/>
        </w:rPr>
        <w:t xml:space="preserve"> 971 P.2d 158, 161, 174-77 (Alaska 1999) (ordering $3.7 million punitive damage award remitted to $500,000 on compensatory damages of $10,000); </w:t>
      </w:r>
      <w:r w:rsidRPr="00D57D00">
        <w:rPr>
          <w:rFonts w:ascii="Bookman Old Style" w:hAnsi="Bookman Old Style"/>
          <w:i/>
          <w:iCs/>
          <w:spacing w:val="-3"/>
          <w:sz w:val="26"/>
        </w:rPr>
        <w:t>Sturm, Ruger &amp; Co. v. Day,</w:t>
      </w:r>
      <w:r>
        <w:rPr>
          <w:rFonts w:ascii="Bookman Old Style" w:hAnsi="Bookman Old Style"/>
          <w:spacing w:val="-3"/>
          <w:sz w:val="26"/>
        </w:rPr>
        <w:t xml:space="preserve"> 594 P.2d 38, 48 (Alaska 1979) (reducing punitive award of $2,895,000 to $250,000).</w:t>
      </w:r>
    </w:p>
    <w:p w:rsidR="005C7075" w:rsidRDefault="005C7075" w:rsidP="005C7075">
      <w:pPr>
        <w:tabs>
          <w:tab w:val="left" w:pos="-720"/>
          <w:tab w:val="left" w:pos="1440"/>
        </w:tabs>
        <w:suppressAutoHyphens/>
        <w:jc w:val="both"/>
        <w:rPr>
          <w:rFonts w:ascii="Bookman Old Style" w:hAnsi="Bookman Old Style"/>
          <w:spacing w:val="-3"/>
          <w:sz w:val="26"/>
        </w:rPr>
      </w:pPr>
    </w:p>
    <w:p w:rsidR="005C7075" w:rsidRDefault="005C7075" w:rsidP="005C7075">
      <w:pPr>
        <w:tabs>
          <w:tab w:val="left" w:pos="-720"/>
          <w:tab w:val="left" w:pos="1440"/>
        </w:tabs>
        <w:suppressAutoHyphens/>
        <w:jc w:val="both"/>
        <w:rPr>
          <w:rFonts w:ascii="Bookman Old Style" w:hAnsi="Bookman Old Style"/>
          <w:spacing w:val="-3"/>
          <w:sz w:val="26"/>
        </w:rPr>
      </w:pPr>
      <w:r>
        <w:rPr>
          <w:rFonts w:ascii="Bookman Old Style" w:hAnsi="Bookman Old Style"/>
          <w:spacing w:val="-3"/>
          <w:sz w:val="26"/>
        </w:rPr>
        <w:t xml:space="preserve">Apart from standards derived from </w:t>
      </w:r>
      <w:smartTag w:uri="urn:schemas-microsoft-com:office:smarttags" w:element="State">
        <w:smartTag w:uri="urn:schemas-microsoft-com:office:smarttags" w:element="place">
          <w:r>
            <w:rPr>
              <w:rFonts w:ascii="Bookman Old Style" w:hAnsi="Bookman Old Style"/>
              <w:spacing w:val="-3"/>
              <w:sz w:val="26"/>
            </w:rPr>
            <w:t>Alaska</w:t>
          </w:r>
        </w:smartTag>
      </w:smartTag>
      <w:r>
        <w:rPr>
          <w:rFonts w:ascii="Bookman Old Style" w:hAnsi="Bookman Old Style"/>
          <w:spacing w:val="-3"/>
          <w:sz w:val="26"/>
        </w:rPr>
        <w:t xml:space="preserve"> law, a punitive damage award is subject to review for excessiveness under federal due process standards.  </w:t>
      </w:r>
      <w:r w:rsidRPr="00D57D00">
        <w:rPr>
          <w:rFonts w:ascii="Bookman Old Style" w:hAnsi="Bookman Old Style"/>
          <w:i/>
          <w:iCs/>
          <w:spacing w:val="-3"/>
          <w:sz w:val="26"/>
        </w:rPr>
        <w:t xml:space="preserve">See </w:t>
      </w:r>
      <w:r w:rsidR="00D96E15" w:rsidRPr="00D57D00">
        <w:rPr>
          <w:rFonts w:ascii="Bookman Old Style" w:hAnsi="Bookman Old Style"/>
          <w:i/>
          <w:iCs/>
          <w:spacing w:val="-3"/>
          <w:sz w:val="26"/>
        </w:rPr>
        <w:t>BMW of N. Am., Inc.</w:t>
      </w:r>
      <w:r w:rsidRPr="00D57D00">
        <w:rPr>
          <w:rFonts w:ascii="Bookman Old Style" w:hAnsi="Bookman Old Style"/>
          <w:i/>
          <w:iCs/>
          <w:spacing w:val="-3"/>
          <w:sz w:val="26"/>
        </w:rPr>
        <w:t xml:space="preserve"> v. Gore,</w:t>
      </w:r>
      <w:r>
        <w:rPr>
          <w:rFonts w:ascii="Bookman Old Style" w:hAnsi="Bookman Old Style"/>
          <w:spacing w:val="-3"/>
          <w:sz w:val="26"/>
        </w:rPr>
        <w:t xml:space="preserve"> 517 </w:t>
      </w:r>
      <w:smartTag w:uri="urn:schemas-microsoft-com:office:smarttags" w:element="country-region">
        <w:smartTag w:uri="urn:schemas-microsoft-com:office:smarttags" w:element="place">
          <w:r>
            <w:rPr>
              <w:rFonts w:ascii="Bookman Old Style" w:hAnsi="Bookman Old Style"/>
              <w:spacing w:val="-3"/>
              <w:sz w:val="26"/>
            </w:rPr>
            <w:t>U.S.</w:t>
          </w:r>
        </w:smartTag>
      </w:smartTag>
      <w:r>
        <w:rPr>
          <w:rFonts w:ascii="Bookman Old Style" w:hAnsi="Bookman Old Style"/>
          <w:spacing w:val="-3"/>
          <w:sz w:val="26"/>
        </w:rPr>
        <w:t xml:space="preserve"> 559 (1996)</w:t>
      </w:r>
      <w:r w:rsidR="00936F15">
        <w:rPr>
          <w:rFonts w:ascii="Bookman Old Style" w:hAnsi="Bookman Old Style"/>
          <w:spacing w:val="-3"/>
          <w:sz w:val="26"/>
        </w:rPr>
        <w:t xml:space="preserve">; </w:t>
      </w:r>
      <w:r w:rsidR="00936F15" w:rsidRPr="00D57D00">
        <w:rPr>
          <w:rFonts w:ascii="Bookman Old Style" w:hAnsi="Bookman Old Style"/>
          <w:i/>
          <w:iCs/>
          <w:spacing w:val="-3"/>
          <w:sz w:val="26"/>
        </w:rPr>
        <w:t>State Farm Mutual Auto. Ins. Co. v. Campbell</w:t>
      </w:r>
      <w:r w:rsidR="00E93BE0" w:rsidRPr="00D57D00">
        <w:rPr>
          <w:rFonts w:ascii="Bookman Old Style" w:hAnsi="Bookman Old Style"/>
          <w:i/>
          <w:iCs/>
          <w:spacing w:val="-3"/>
          <w:sz w:val="26"/>
        </w:rPr>
        <w:t>,</w:t>
      </w:r>
      <w:r w:rsidR="00E93BE0">
        <w:rPr>
          <w:rFonts w:ascii="Bookman Old Style" w:hAnsi="Bookman Old Style"/>
          <w:spacing w:val="-3"/>
          <w:sz w:val="26"/>
        </w:rPr>
        <w:t xml:space="preserve"> 538 </w:t>
      </w:r>
      <w:smartTag w:uri="urn:schemas-microsoft-com:office:smarttags" w:element="country-region">
        <w:smartTag w:uri="urn:schemas-microsoft-com:office:smarttags" w:element="place">
          <w:r w:rsidR="00E93BE0">
            <w:rPr>
              <w:rFonts w:ascii="Bookman Old Style" w:hAnsi="Bookman Old Style"/>
              <w:spacing w:val="-3"/>
              <w:sz w:val="26"/>
            </w:rPr>
            <w:t>U.S.</w:t>
          </w:r>
        </w:smartTag>
      </w:smartTag>
      <w:r w:rsidR="00E93BE0">
        <w:rPr>
          <w:rFonts w:ascii="Bookman Old Style" w:hAnsi="Bookman Old Style"/>
          <w:spacing w:val="-3"/>
          <w:sz w:val="26"/>
        </w:rPr>
        <w:t xml:space="preserve"> 408 (2003)</w:t>
      </w:r>
      <w:r>
        <w:rPr>
          <w:rFonts w:ascii="Bookman Old Style" w:hAnsi="Bookman Old Style"/>
          <w:spacing w:val="-3"/>
          <w:sz w:val="26"/>
        </w:rPr>
        <w:t xml:space="preserve">.  For </w:t>
      </w:r>
      <w:smartTag w:uri="urn:schemas-microsoft-com:office:smarttags" w:element="State">
        <w:smartTag w:uri="urn:schemas-microsoft-com:office:smarttags" w:element="place">
          <w:r>
            <w:rPr>
              <w:rFonts w:ascii="Bookman Old Style" w:hAnsi="Bookman Old Style"/>
              <w:spacing w:val="-3"/>
              <w:sz w:val="26"/>
            </w:rPr>
            <w:t>Alaska</w:t>
          </w:r>
        </w:smartTag>
      </w:smartTag>
      <w:r>
        <w:rPr>
          <w:rFonts w:ascii="Bookman Old Style" w:hAnsi="Bookman Old Style"/>
          <w:spacing w:val="-3"/>
          <w:sz w:val="26"/>
        </w:rPr>
        <w:t xml:space="preserve"> cases applying </w:t>
      </w:r>
      <w:r w:rsidR="00667A4C">
        <w:rPr>
          <w:rFonts w:ascii="Bookman Old Style" w:hAnsi="Bookman Old Style"/>
          <w:spacing w:val="-3"/>
          <w:sz w:val="26"/>
        </w:rPr>
        <w:t xml:space="preserve">federal due process standards, </w:t>
      </w:r>
      <w:r w:rsidRPr="00D57D00">
        <w:rPr>
          <w:rFonts w:ascii="Bookman Old Style" w:hAnsi="Bookman Old Style"/>
          <w:i/>
          <w:iCs/>
          <w:spacing w:val="-3"/>
          <w:sz w:val="26"/>
        </w:rPr>
        <w:t>see State v. Carpenter</w:t>
      </w:r>
      <w:r w:rsidR="00D96E15" w:rsidRPr="00D57D00">
        <w:rPr>
          <w:rFonts w:ascii="Bookman Old Style" w:hAnsi="Bookman Old Style"/>
          <w:i/>
          <w:iCs/>
          <w:spacing w:val="-3"/>
          <w:sz w:val="26"/>
        </w:rPr>
        <w:t>,</w:t>
      </w:r>
      <w:r w:rsidR="00D96E15">
        <w:rPr>
          <w:rFonts w:ascii="Bookman Old Style" w:hAnsi="Bookman Old Style"/>
          <w:spacing w:val="-3"/>
          <w:sz w:val="26"/>
        </w:rPr>
        <w:t xml:space="preserve"> 171 P.3d at 65</w:t>
      </w:r>
      <w:r>
        <w:rPr>
          <w:rFonts w:ascii="Bookman Old Style" w:hAnsi="Bookman Old Style"/>
          <w:spacing w:val="-3"/>
          <w:sz w:val="26"/>
        </w:rPr>
        <w:t xml:space="preserve">; </w:t>
      </w:r>
      <w:r w:rsidRPr="00D57D00">
        <w:rPr>
          <w:rFonts w:ascii="Bookman Old Style" w:hAnsi="Bookman Old Style"/>
          <w:i/>
          <w:iCs/>
          <w:spacing w:val="-3"/>
          <w:sz w:val="26"/>
        </w:rPr>
        <w:t>Casciola,</w:t>
      </w:r>
      <w:r>
        <w:rPr>
          <w:rFonts w:ascii="Bookman Old Style" w:hAnsi="Bookman Old Style"/>
          <w:spacing w:val="-3"/>
          <w:sz w:val="26"/>
        </w:rPr>
        <w:t xml:space="preserve"> 120 P.3d at 1066; </w:t>
      </w:r>
      <w:r w:rsidR="00E93BE0">
        <w:rPr>
          <w:rFonts w:ascii="Bookman Old Style" w:hAnsi="Bookman Old Style"/>
          <w:spacing w:val="-3"/>
          <w:sz w:val="26"/>
        </w:rPr>
        <w:t xml:space="preserve">and </w:t>
      </w:r>
      <w:smartTag w:uri="urn:schemas-microsoft-com:office:smarttags" w:element="place">
        <w:r w:rsidRPr="00D57D00">
          <w:rPr>
            <w:rFonts w:ascii="Bookman Old Style" w:hAnsi="Bookman Old Style"/>
            <w:i/>
            <w:iCs/>
            <w:spacing w:val="-3"/>
            <w:sz w:val="26"/>
          </w:rPr>
          <w:t>Central Bering Sea</w:t>
        </w:r>
      </w:smartTag>
      <w:r w:rsidR="00D96E15" w:rsidRPr="00D57D00">
        <w:rPr>
          <w:rFonts w:ascii="Bookman Old Style" w:hAnsi="Bookman Old Style"/>
          <w:i/>
          <w:iCs/>
          <w:spacing w:val="-3"/>
          <w:sz w:val="26"/>
        </w:rPr>
        <w:t>,</w:t>
      </w:r>
      <w:r w:rsidR="00D96E15">
        <w:rPr>
          <w:rFonts w:ascii="Bookman Old Style" w:hAnsi="Bookman Old Style"/>
          <w:spacing w:val="-3"/>
          <w:sz w:val="26"/>
        </w:rPr>
        <w:t xml:space="preserve"> 54 P.3d at 284</w:t>
      </w:r>
      <w:r w:rsidR="00E93BE0">
        <w:rPr>
          <w:rFonts w:ascii="Bookman Old Style" w:hAnsi="Bookman Old Style"/>
          <w:spacing w:val="-3"/>
          <w:sz w:val="26"/>
        </w:rPr>
        <w:t>.</w:t>
      </w:r>
    </w:p>
    <w:p w:rsidR="005C7075" w:rsidRDefault="005C7075" w:rsidP="00CC4448">
      <w:pPr>
        <w:tabs>
          <w:tab w:val="left" w:pos="1440"/>
        </w:tabs>
        <w:suppressAutoHyphens/>
        <w:jc w:val="both"/>
        <w:rPr>
          <w:rFonts w:ascii="Bookman Old Style" w:hAnsi="Bookman Old Style"/>
          <w:sz w:val="26"/>
        </w:rPr>
      </w:pPr>
    </w:p>
    <w:p w:rsidR="00CC4448" w:rsidRDefault="00CC4448" w:rsidP="00CC4448">
      <w:pPr>
        <w:tabs>
          <w:tab w:val="left" w:pos="1440"/>
        </w:tabs>
        <w:suppressAutoHyphens/>
        <w:jc w:val="both"/>
        <w:rPr>
          <w:rFonts w:ascii="Bookman Old Style" w:hAnsi="Bookman Old Style"/>
          <w:sz w:val="26"/>
        </w:rPr>
      </w:pPr>
    </w:p>
    <w:sectPr w:rsidR="00CC4448" w:rsidSect="00D57D0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721" w:rsidRDefault="00387721">
      <w:r>
        <w:separator/>
      </w:r>
    </w:p>
  </w:endnote>
  <w:endnote w:type="continuationSeparator" w:id="0">
    <w:p w:rsidR="00387721" w:rsidRDefault="00387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PCL6)">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DC5" w:rsidRPr="000553AF" w:rsidRDefault="00AF6DC5" w:rsidP="000553AF">
    <w:pPr>
      <w:pStyle w:val="Footer"/>
      <w:tabs>
        <w:tab w:val="clear" w:pos="8640"/>
        <w:tab w:val="right" w:pos="9360"/>
      </w:tabs>
      <w:rPr>
        <w:rFonts w:ascii="Bookman Old Style" w:hAnsi="Bookman Old Style"/>
      </w:rPr>
    </w:pPr>
    <w:r w:rsidRPr="000553AF">
      <w:rPr>
        <w:rFonts w:ascii="Bookman Old Style" w:hAnsi="Bookman Old Style"/>
      </w:rPr>
      <w:t>REVISED 2008</w:t>
    </w:r>
    <w:r w:rsidRPr="000553AF">
      <w:rPr>
        <w:rFonts w:ascii="Bookman Old Style" w:hAnsi="Bookman Old Style"/>
      </w:rPr>
      <w:tab/>
    </w:r>
    <w:r w:rsidRPr="000553AF">
      <w:rPr>
        <w:rFonts w:ascii="Bookman Old Style" w:hAnsi="Bookman Old Style"/>
      </w:rPr>
      <w:tab/>
      <w:t xml:space="preserve">20.20B - </w:t>
    </w:r>
    <w:r w:rsidRPr="000553AF">
      <w:rPr>
        <w:rStyle w:val="PageNumber"/>
        <w:rFonts w:ascii="Bookman Old Style" w:hAnsi="Bookman Old Style"/>
      </w:rPr>
      <w:fldChar w:fldCharType="begin"/>
    </w:r>
    <w:r w:rsidRPr="000553AF">
      <w:rPr>
        <w:rStyle w:val="PageNumber"/>
        <w:rFonts w:ascii="Bookman Old Style" w:hAnsi="Bookman Old Style"/>
      </w:rPr>
      <w:instrText xml:space="preserve"> PAGE </w:instrText>
    </w:r>
    <w:r w:rsidRPr="000553AF">
      <w:rPr>
        <w:rStyle w:val="PageNumber"/>
        <w:rFonts w:ascii="Bookman Old Style" w:hAnsi="Bookman Old Style"/>
      </w:rPr>
      <w:fldChar w:fldCharType="separate"/>
    </w:r>
    <w:r w:rsidR="003C1D27">
      <w:rPr>
        <w:rStyle w:val="PageNumber"/>
        <w:rFonts w:ascii="Bookman Old Style" w:hAnsi="Bookman Old Style"/>
        <w:noProof/>
      </w:rPr>
      <w:t>1</w:t>
    </w:r>
    <w:r w:rsidRPr="000553AF">
      <w:rPr>
        <w:rStyle w:val="PageNumber"/>
        <w:rFonts w:ascii="Bookman Old Style" w:hAnsi="Bookman Old Styl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721" w:rsidRDefault="00387721">
      <w:r>
        <w:separator/>
      </w:r>
    </w:p>
  </w:footnote>
  <w:footnote w:type="continuationSeparator" w:id="0">
    <w:p w:rsidR="00387721" w:rsidRDefault="003877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72A34"/>
    <w:multiLevelType w:val="singleLevel"/>
    <w:tmpl w:val="0BCABBE2"/>
    <w:lvl w:ilvl="0">
      <w:start w:val="1"/>
      <w:numFmt w:val="bullet"/>
      <w:lvlText w:val=""/>
      <w:lvlJc w:val="left"/>
      <w:pPr>
        <w:tabs>
          <w:tab w:val="num" w:pos="360"/>
        </w:tabs>
        <w:ind w:left="360" w:hanging="360"/>
      </w:pPr>
      <w:rPr>
        <w:rFonts w:ascii="Symbol" w:hAnsi="Symbol" w:hint="default"/>
      </w:rPr>
    </w:lvl>
  </w:abstractNum>
  <w:abstractNum w:abstractNumId="1">
    <w:nsid w:val="24811237"/>
    <w:multiLevelType w:val="singleLevel"/>
    <w:tmpl w:val="0BCABBE2"/>
    <w:lvl w:ilvl="0">
      <w:start w:val="1"/>
      <w:numFmt w:val="bullet"/>
      <w:lvlText w:val=""/>
      <w:lvlJc w:val="left"/>
      <w:pPr>
        <w:tabs>
          <w:tab w:val="num" w:pos="360"/>
        </w:tabs>
        <w:ind w:left="360" w:hanging="360"/>
      </w:pPr>
      <w:rPr>
        <w:rFonts w:ascii="Symbol" w:hAnsi="Symbol" w:hint="default"/>
      </w:rPr>
    </w:lvl>
  </w:abstractNum>
  <w:abstractNum w:abstractNumId="2">
    <w:nsid w:val="2C113698"/>
    <w:multiLevelType w:val="singleLevel"/>
    <w:tmpl w:val="0BCABBE2"/>
    <w:lvl w:ilvl="0">
      <w:start w:val="1"/>
      <w:numFmt w:val="bullet"/>
      <w:lvlText w:val=""/>
      <w:lvlJc w:val="left"/>
      <w:pPr>
        <w:tabs>
          <w:tab w:val="num" w:pos="360"/>
        </w:tabs>
        <w:ind w:left="360" w:hanging="360"/>
      </w:pPr>
      <w:rPr>
        <w:rFonts w:ascii="Symbol" w:hAnsi="Symbol" w:hint="default"/>
      </w:rPr>
    </w:lvl>
  </w:abstractNum>
  <w:abstractNum w:abstractNumId="3">
    <w:nsid w:val="7B750345"/>
    <w:multiLevelType w:val="singleLevel"/>
    <w:tmpl w:val="0BCABBE2"/>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448"/>
    <w:rsid w:val="000553AF"/>
    <w:rsid w:val="000643BA"/>
    <w:rsid w:val="000A2CCA"/>
    <w:rsid w:val="001015ED"/>
    <w:rsid w:val="00103EEE"/>
    <w:rsid w:val="001C389A"/>
    <w:rsid w:val="00216885"/>
    <w:rsid w:val="002414ED"/>
    <w:rsid w:val="00387721"/>
    <w:rsid w:val="003C1D27"/>
    <w:rsid w:val="003E0818"/>
    <w:rsid w:val="00490355"/>
    <w:rsid w:val="00491294"/>
    <w:rsid w:val="0050379D"/>
    <w:rsid w:val="00592B94"/>
    <w:rsid w:val="005C7075"/>
    <w:rsid w:val="005E1C51"/>
    <w:rsid w:val="00667A4C"/>
    <w:rsid w:val="00690593"/>
    <w:rsid w:val="006B1002"/>
    <w:rsid w:val="006D6346"/>
    <w:rsid w:val="0075108A"/>
    <w:rsid w:val="007F3D64"/>
    <w:rsid w:val="008978A2"/>
    <w:rsid w:val="008B4B93"/>
    <w:rsid w:val="00936F15"/>
    <w:rsid w:val="009E3775"/>
    <w:rsid w:val="00A31C87"/>
    <w:rsid w:val="00AB47FF"/>
    <w:rsid w:val="00AF6DC5"/>
    <w:rsid w:val="00B31776"/>
    <w:rsid w:val="00B41207"/>
    <w:rsid w:val="00B97D5F"/>
    <w:rsid w:val="00BC4B7B"/>
    <w:rsid w:val="00C10518"/>
    <w:rsid w:val="00C12E4B"/>
    <w:rsid w:val="00C24FA5"/>
    <w:rsid w:val="00CA3C7F"/>
    <w:rsid w:val="00CC4448"/>
    <w:rsid w:val="00D57D00"/>
    <w:rsid w:val="00D96E15"/>
    <w:rsid w:val="00E93BE0"/>
    <w:rsid w:val="00F31749"/>
    <w:rsid w:val="00FC01BD"/>
    <w:rsid w:val="00FD0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448"/>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CC4448"/>
    <w:pPr>
      <w:widowControl w:val="0"/>
      <w:spacing w:after="240"/>
      <w:ind w:firstLine="720"/>
    </w:pPr>
  </w:style>
  <w:style w:type="paragraph" w:customStyle="1" w:styleId="center">
    <w:name w:val="center"/>
    <w:basedOn w:val="Normal"/>
    <w:rsid w:val="00CC4448"/>
    <w:pPr>
      <w:keepLines/>
      <w:spacing w:before="240" w:line="240" w:lineRule="atLeast"/>
      <w:jc w:val="center"/>
    </w:pPr>
    <w:rPr>
      <w:sz w:val="26"/>
      <w:szCs w:val="20"/>
    </w:rPr>
  </w:style>
  <w:style w:type="paragraph" w:styleId="BodyTextIndent">
    <w:name w:val="Body Text Indent"/>
    <w:basedOn w:val="Normal"/>
    <w:rsid w:val="00CC4448"/>
    <w:pPr>
      <w:tabs>
        <w:tab w:val="left" w:pos="1440"/>
      </w:tabs>
      <w:suppressAutoHyphens/>
      <w:ind w:left="1440" w:hanging="1440"/>
      <w:jc w:val="both"/>
    </w:pPr>
    <w:rPr>
      <w:rFonts w:ascii="CG Times (PCL6)" w:hAnsi="CG Times (PCL6)"/>
      <w:szCs w:val="20"/>
    </w:rPr>
  </w:style>
  <w:style w:type="paragraph" w:styleId="Header">
    <w:name w:val="header"/>
    <w:basedOn w:val="Normal"/>
    <w:rsid w:val="00491294"/>
    <w:pPr>
      <w:tabs>
        <w:tab w:val="center" w:pos="4320"/>
        <w:tab w:val="right" w:pos="8640"/>
      </w:tabs>
    </w:pPr>
  </w:style>
  <w:style w:type="paragraph" w:styleId="Footer">
    <w:name w:val="footer"/>
    <w:basedOn w:val="Normal"/>
    <w:rsid w:val="00491294"/>
    <w:pPr>
      <w:tabs>
        <w:tab w:val="center" w:pos="4320"/>
        <w:tab w:val="right" w:pos="8640"/>
      </w:tabs>
    </w:pPr>
  </w:style>
  <w:style w:type="character" w:styleId="PageNumber">
    <w:name w:val="page number"/>
    <w:basedOn w:val="DefaultParagraphFont"/>
    <w:rsid w:val="004912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448"/>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CC4448"/>
    <w:pPr>
      <w:widowControl w:val="0"/>
      <w:spacing w:after="240"/>
      <w:ind w:firstLine="720"/>
    </w:pPr>
  </w:style>
  <w:style w:type="paragraph" w:customStyle="1" w:styleId="center">
    <w:name w:val="center"/>
    <w:basedOn w:val="Normal"/>
    <w:rsid w:val="00CC4448"/>
    <w:pPr>
      <w:keepLines/>
      <w:spacing w:before="240" w:line="240" w:lineRule="atLeast"/>
      <w:jc w:val="center"/>
    </w:pPr>
    <w:rPr>
      <w:sz w:val="26"/>
      <w:szCs w:val="20"/>
    </w:rPr>
  </w:style>
  <w:style w:type="paragraph" w:styleId="BodyTextIndent">
    <w:name w:val="Body Text Indent"/>
    <w:basedOn w:val="Normal"/>
    <w:rsid w:val="00CC4448"/>
    <w:pPr>
      <w:tabs>
        <w:tab w:val="left" w:pos="1440"/>
      </w:tabs>
      <w:suppressAutoHyphens/>
      <w:ind w:left="1440" w:hanging="1440"/>
      <w:jc w:val="both"/>
    </w:pPr>
    <w:rPr>
      <w:rFonts w:ascii="CG Times (PCL6)" w:hAnsi="CG Times (PCL6)"/>
      <w:szCs w:val="20"/>
    </w:rPr>
  </w:style>
  <w:style w:type="paragraph" w:styleId="Header">
    <w:name w:val="header"/>
    <w:basedOn w:val="Normal"/>
    <w:rsid w:val="00491294"/>
    <w:pPr>
      <w:tabs>
        <w:tab w:val="center" w:pos="4320"/>
        <w:tab w:val="right" w:pos="8640"/>
      </w:tabs>
    </w:pPr>
  </w:style>
  <w:style w:type="paragraph" w:styleId="Footer">
    <w:name w:val="footer"/>
    <w:basedOn w:val="Normal"/>
    <w:rsid w:val="00491294"/>
    <w:pPr>
      <w:tabs>
        <w:tab w:val="center" w:pos="4320"/>
        <w:tab w:val="right" w:pos="8640"/>
      </w:tabs>
    </w:pPr>
  </w:style>
  <w:style w:type="character" w:styleId="PageNumber">
    <w:name w:val="page number"/>
    <w:basedOn w:val="DefaultParagraphFont"/>
    <w:rsid w:val="004912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978</Words>
  <Characters>5577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lpstr>
    </vt:vector>
  </TitlesOfParts>
  <Manager> </Manager>
  <Company> </Company>
  <LinksUpToDate>false</LinksUpToDate>
  <CharactersWithSpaces>6542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Michael Merrington</cp:lastModifiedBy>
  <cp:revision>3</cp:revision>
  <cp:lastPrinted>2008-07-01T21:46:00Z</cp:lastPrinted>
  <dcterms:created xsi:type="dcterms:W3CDTF">2017-04-04T18:51:00Z</dcterms:created>
  <dcterms:modified xsi:type="dcterms:W3CDTF">2017-04-04T18:51:00Z</dcterms:modified>
  <cp:category>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R6wsTRupL6zWsnz5skj1ZB4AOTZBVbtSTqkVi1B9xXxjwpWqHFG1snusH0F_x000d_
9fgFV/Hyh5mLPhfc0nUpm8pi8A01K9LjQf6SJwqR/J3crFl4</vt:lpwstr>
  </property>
  <property fmtid="{D5CDD505-2E9C-101B-9397-08002B2CF9AE}" pid="3" name="RESPONSE_SENDER_NAME">
    <vt:lpwstr>gAAAdya76B99d4hLGUR1rQ+8TxTv0GGEPdix</vt:lpwstr>
  </property>
  <property fmtid="{D5CDD505-2E9C-101B-9397-08002B2CF9AE}" pid="4" name="MAIL_MSG_ID1">
    <vt:lpwstr>sAAAE34RQVAK31nGgH7Oa9F3v4j8Gzrjtxt2jaTxiBKkWIw=</vt:lpwstr>
  </property>
  <property fmtid="{D5CDD505-2E9C-101B-9397-08002B2CF9AE}" pid="5" name="EMAIL_OWNER_ADDRESS">
    <vt:lpwstr>sAAAE34RQVAK31n7oqEtgwyP0c8StNiZamPk16/3loiYQ48=</vt:lpwstr>
  </property>
  <property fmtid="{D5CDD505-2E9C-101B-9397-08002B2CF9AE}" pid="6" name="_AdHocReviewCycleID">
    <vt:i4>-1727987932</vt:i4>
  </property>
  <property fmtid="{D5CDD505-2E9C-101B-9397-08002B2CF9AE}" pid="7" name="_EmailSubject">
    <vt:lpwstr>Supplement 15 with notes</vt:lpwstr>
  </property>
  <property fmtid="{D5CDD505-2E9C-101B-9397-08002B2CF9AE}" pid="8" name="_AuthorEmail">
    <vt:lpwstr>jhoenack@courts.state.ak.us</vt:lpwstr>
  </property>
  <property fmtid="{D5CDD505-2E9C-101B-9397-08002B2CF9AE}" pid="9" name="_AuthorEmailDisplayName">
    <vt:lpwstr>Jennie Marshall-Hoenack</vt:lpwstr>
  </property>
  <property fmtid="{D5CDD505-2E9C-101B-9397-08002B2CF9AE}" pid="10" name="_ReviewingToolsShownOnce">
    <vt:lpwstr/>
  </property>
</Properties>
</file>