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A5" w:rsidRPr="000D7DAB" w:rsidRDefault="00032554" w:rsidP="00B87AB3">
      <w:pPr>
        <w:jc w:val="both"/>
        <w:rPr>
          <w:rFonts w:ascii="Bookman Old Style" w:hAnsi="Bookman Old Style"/>
          <w:b/>
          <w:bCs/>
        </w:rPr>
      </w:pPr>
      <w:bookmarkStart w:id="0" w:name="_GoBack"/>
      <w:bookmarkEnd w:id="0"/>
      <w:r>
        <w:rPr>
          <w:rFonts w:ascii="Bookman Old Style" w:hAnsi="Bookman Old Style"/>
          <w:b/>
          <w:bCs/>
          <w:sz w:val="26"/>
        </w:rPr>
        <w:t>21.</w:t>
      </w:r>
      <w:r w:rsidR="00E03A7C">
        <w:rPr>
          <w:rFonts w:ascii="Bookman Old Style" w:hAnsi="Bookman Old Style"/>
          <w:b/>
          <w:bCs/>
          <w:sz w:val="26"/>
        </w:rPr>
        <w:t>0</w:t>
      </w:r>
      <w:r>
        <w:rPr>
          <w:rFonts w:ascii="Bookman Old Style" w:hAnsi="Bookman Old Style"/>
          <w:b/>
          <w:bCs/>
          <w:sz w:val="26"/>
        </w:rPr>
        <w:t xml:space="preserve">2 </w:t>
      </w:r>
      <w:r w:rsidR="008F2873">
        <w:rPr>
          <w:rFonts w:ascii="Bookman Old Style" w:hAnsi="Bookman Old Style"/>
          <w:b/>
          <w:bCs/>
          <w:sz w:val="26"/>
        </w:rPr>
        <w:tab/>
      </w:r>
      <w:r>
        <w:rPr>
          <w:rFonts w:ascii="Bookman Old Style" w:hAnsi="Bookman Old Style"/>
          <w:b/>
          <w:bCs/>
          <w:sz w:val="26"/>
        </w:rPr>
        <w:t>NEGLIGENT BAILMENT</w:t>
      </w:r>
      <w:r w:rsidR="00532737">
        <w:rPr>
          <w:rFonts w:ascii="Bookman Old Style" w:hAnsi="Bookman Old Style"/>
          <w:b/>
          <w:bCs/>
          <w:sz w:val="26"/>
        </w:rPr>
        <w:t xml:space="preserve"> – </w:t>
      </w:r>
      <w:r w:rsidR="00A318A5" w:rsidRPr="000D7DAB">
        <w:rPr>
          <w:rFonts w:ascii="Bookman Old Style" w:hAnsi="Bookman Old Style"/>
          <w:b/>
          <w:bCs/>
          <w:sz w:val="26"/>
        </w:rPr>
        <w:t>NEGLIGENCE DEFINED</w:t>
      </w:r>
    </w:p>
    <w:p w:rsidR="00A318A5" w:rsidRDefault="00A318A5" w:rsidP="00B87AB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433DEA" w:rsidRDefault="00433DEA" w:rsidP="00B87AB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AC3422" w:rsidRPr="00433DEA" w:rsidRDefault="00A318A5" w:rsidP="007869AB">
      <w:pPr>
        <w:widowControl w:val="0"/>
        <w:tabs>
          <w:tab w:val="left" w:pos="-1440"/>
          <w:tab w:val="left" w:pos="-720"/>
        </w:tabs>
        <w:spacing w:line="360" w:lineRule="auto"/>
        <w:jc w:val="both"/>
        <w:rPr>
          <w:rFonts w:ascii="Bookman Old Style" w:hAnsi="Bookman Old Style"/>
          <w:sz w:val="24"/>
          <w:szCs w:val="24"/>
        </w:rPr>
      </w:pPr>
      <w:r w:rsidRPr="00433DEA">
        <w:rPr>
          <w:rFonts w:ascii="Bookman Old Style" w:hAnsi="Bookman Old Style"/>
          <w:sz w:val="24"/>
          <w:szCs w:val="24"/>
        </w:rPr>
        <w:t xml:space="preserve">Negligence is the failure to use </w:t>
      </w:r>
      <w:r w:rsidR="00FD29E6" w:rsidRPr="00433DEA">
        <w:rPr>
          <w:rFonts w:ascii="Bookman Old Style" w:hAnsi="Bookman Old Style"/>
          <w:sz w:val="24"/>
          <w:szCs w:val="24"/>
        </w:rPr>
        <w:t>reasonable</w:t>
      </w:r>
      <w:r w:rsidR="00E03A7C" w:rsidRPr="00433DEA">
        <w:rPr>
          <w:rFonts w:ascii="Bookman Old Style" w:hAnsi="Bookman Old Style"/>
          <w:sz w:val="24"/>
          <w:szCs w:val="24"/>
        </w:rPr>
        <w:t xml:space="preserve"> care </w:t>
      </w:r>
      <w:r w:rsidR="00AC3422" w:rsidRPr="00433DEA">
        <w:rPr>
          <w:rFonts w:ascii="Bookman Old Style" w:hAnsi="Bookman Old Style"/>
          <w:sz w:val="24"/>
          <w:szCs w:val="24"/>
        </w:rPr>
        <w:t xml:space="preserve">to prevent </w:t>
      </w:r>
      <w:r w:rsidR="00FD29E6" w:rsidRPr="00433DEA">
        <w:rPr>
          <w:rFonts w:ascii="Bookman Old Style" w:hAnsi="Bookman Old Style"/>
          <w:sz w:val="24"/>
          <w:szCs w:val="24"/>
        </w:rPr>
        <w:t xml:space="preserve">[damage </w:t>
      </w:r>
      <w:r w:rsidR="00AC3422" w:rsidRPr="00433DEA">
        <w:rPr>
          <w:rFonts w:ascii="Bookman Old Style" w:hAnsi="Bookman Old Style"/>
          <w:sz w:val="24"/>
          <w:szCs w:val="24"/>
        </w:rPr>
        <w:t>to</w:t>
      </w:r>
      <w:r w:rsidR="00FD29E6" w:rsidRPr="00433DEA">
        <w:rPr>
          <w:rFonts w:ascii="Bookman Old Style" w:hAnsi="Bookman Old Style"/>
          <w:sz w:val="24"/>
          <w:szCs w:val="24"/>
        </w:rPr>
        <w:t>]</w:t>
      </w:r>
      <w:r w:rsidR="00AC3422" w:rsidRPr="00433DEA">
        <w:rPr>
          <w:rFonts w:ascii="Bookman Old Style" w:hAnsi="Bookman Old Style"/>
          <w:sz w:val="24"/>
          <w:szCs w:val="24"/>
        </w:rPr>
        <w:t xml:space="preserve"> </w:t>
      </w:r>
      <w:r w:rsidR="00FD29E6" w:rsidRPr="00433DEA">
        <w:rPr>
          <w:rFonts w:ascii="Bookman Old Style" w:hAnsi="Bookman Old Style"/>
          <w:sz w:val="24"/>
          <w:szCs w:val="24"/>
        </w:rPr>
        <w:t xml:space="preserve">[loss of] </w:t>
      </w:r>
      <w:r w:rsidR="008A2DA7" w:rsidRPr="00433DEA">
        <w:rPr>
          <w:rFonts w:ascii="Bookman Old Style" w:hAnsi="Bookman Old Style"/>
          <w:sz w:val="24"/>
          <w:szCs w:val="24"/>
        </w:rPr>
        <w:t>the [bailed property]</w:t>
      </w:r>
      <w:r w:rsidRPr="00433DEA">
        <w:rPr>
          <w:rFonts w:ascii="Bookman Old Style" w:hAnsi="Bookman Old Style"/>
          <w:sz w:val="24"/>
          <w:szCs w:val="24"/>
        </w:rPr>
        <w:t xml:space="preserve">.  </w:t>
      </w:r>
    </w:p>
    <w:p w:rsidR="00AC3422" w:rsidRPr="00433DEA" w:rsidRDefault="00AC3422" w:rsidP="007869AB">
      <w:pPr>
        <w:widowControl w:val="0"/>
        <w:tabs>
          <w:tab w:val="left" w:pos="-1440"/>
          <w:tab w:val="left" w:pos="-720"/>
        </w:tabs>
        <w:spacing w:line="360" w:lineRule="auto"/>
        <w:jc w:val="both"/>
        <w:rPr>
          <w:rFonts w:ascii="Bookman Old Style" w:hAnsi="Bookman Old Style"/>
          <w:sz w:val="24"/>
          <w:szCs w:val="24"/>
        </w:rPr>
      </w:pPr>
    </w:p>
    <w:p w:rsidR="0048736B" w:rsidRPr="00433DEA" w:rsidRDefault="004C44B7" w:rsidP="007869AB">
      <w:pPr>
        <w:widowControl w:val="0"/>
        <w:tabs>
          <w:tab w:val="left" w:pos="-1440"/>
          <w:tab w:val="left" w:pos="-720"/>
        </w:tabs>
        <w:spacing w:line="360" w:lineRule="auto"/>
        <w:jc w:val="both"/>
        <w:rPr>
          <w:rFonts w:ascii="Bookman Old Style" w:hAnsi="Bookman Old Style"/>
          <w:sz w:val="24"/>
          <w:szCs w:val="24"/>
        </w:rPr>
      </w:pPr>
      <w:r w:rsidRPr="00433DEA">
        <w:rPr>
          <w:rFonts w:ascii="Bookman Old Style" w:hAnsi="Bookman Old Style"/>
          <w:sz w:val="24"/>
          <w:szCs w:val="24"/>
        </w:rPr>
        <w:t>A person can be negligent by acting or by failing to act.</w:t>
      </w:r>
      <w:r w:rsidR="00AC3422" w:rsidRPr="00433DEA">
        <w:rPr>
          <w:rFonts w:ascii="Bookman Old Style" w:hAnsi="Bookman Old Style"/>
          <w:sz w:val="24"/>
          <w:szCs w:val="24"/>
        </w:rPr>
        <w:t xml:space="preserve"> A person is negligent if he or she does something that a reasonably careful </w:t>
      </w:r>
      <w:r w:rsidR="00E03A7C" w:rsidRPr="00433DEA">
        <w:rPr>
          <w:rFonts w:ascii="Bookman Old Style" w:hAnsi="Bookman Old Style"/>
          <w:sz w:val="24"/>
          <w:szCs w:val="24"/>
        </w:rPr>
        <w:t xml:space="preserve">owner of the [bailed property] </w:t>
      </w:r>
      <w:r w:rsidR="00AC3422" w:rsidRPr="00433DEA">
        <w:rPr>
          <w:rFonts w:ascii="Bookman Old Style" w:hAnsi="Bookman Old Style"/>
          <w:sz w:val="24"/>
          <w:szCs w:val="24"/>
        </w:rPr>
        <w:t>would not do in the same situation</w:t>
      </w:r>
      <w:r w:rsidR="00AE42DD" w:rsidRPr="00433DEA">
        <w:rPr>
          <w:rFonts w:ascii="Bookman Old Style" w:hAnsi="Bookman Old Style"/>
          <w:sz w:val="24"/>
          <w:szCs w:val="24"/>
        </w:rPr>
        <w:t>,</w:t>
      </w:r>
      <w:r w:rsidR="00AC3422" w:rsidRPr="00433DEA">
        <w:rPr>
          <w:rFonts w:ascii="Bookman Old Style" w:hAnsi="Bookman Old Style"/>
          <w:sz w:val="24"/>
          <w:szCs w:val="24"/>
        </w:rPr>
        <w:t xml:space="preserve"> or fails to do something that a reasonably careful </w:t>
      </w:r>
      <w:r w:rsidR="0048736B" w:rsidRPr="00433DEA">
        <w:rPr>
          <w:rFonts w:ascii="Bookman Old Style" w:hAnsi="Bookman Old Style"/>
          <w:sz w:val="24"/>
          <w:szCs w:val="24"/>
        </w:rPr>
        <w:t xml:space="preserve">owner of the </w:t>
      </w:r>
      <w:r w:rsidR="00170500" w:rsidRPr="00433DEA">
        <w:rPr>
          <w:rFonts w:ascii="Bookman Old Style" w:hAnsi="Bookman Old Style"/>
          <w:sz w:val="24"/>
          <w:szCs w:val="24"/>
        </w:rPr>
        <w:t>[</w:t>
      </w:r>
      <w:r w:rsidR="0048736B" w:rsidRPr="00433DEA">
        <w:rPr>
          <w:rFonts w:ascii="Bookman Old Style" w:hAnsi="Bookman Old Style"/>
          <w:sz w:val="24"/>
          <w:szCs w:val="24"/>
        </w:rPr>
        <w:t>bailed property</w:t>
      </w:r>
      <w:r w:rsidR="00170500" w:rsidRPr="00433DEA">
        <w:rPr>
          <w:rFonts w:ascii="Bookman Old Style" w:hAnsi="Bookman Old Style"/>
          <w:sz w:val="24"/>
          <w:szCs w:val="24"/>
        </w:rPr>
        <w:t>]</w:t>
      </w:r>
      <w:r w:rsidR="0048736B" w:rsidRPr="00433DEA">
        <w:rPr>
          <w:rFonts w:ascii="Bookman Old Style" w:hAnsi="Bookman Old Style"/>
          <w:sz w:val="24"/>
          <w:szCs w:val="24"/>
        </w:rPr>
        <w:t xml:space="preserve"> </w:t>
      </w:r>
      <w:r w:rsidR="00AC3422" w:rsidRPr="00433DEA">
        <w:rPr>
          <w:rFonts w:ascii="Bookman Old Style" w:hAnsi="Bookman Old Style"/>
          <w:sz w:val="24"/>
          <w:szCs w:val="24"/>
        </w:rPr>
        <w:t>would do in the same situ</w:t>
      </w:r>
      <w:r w:rsidR="00E03A7C" w:rsidRPr="00433DEA">
        <w:rPr>
          <w:rFonts w:ascii="Bookman Old Style" w:hAnsi="Bookman Old Style"/>
          <w:sz w:val="24"/>
          <w:szCs w:val="24"/>
        </w:rPr>
        <w:t xml:space="preserve">ation. The law does not require </w:t>
      </w:r>
      <w:r w:rsidR="00AC3422" w:rsidRPr="00433DEA">
        <w:rPr>
          <w:rFonts w:ascii="Bookman Old Style" w:hAnsi="Bookman Old Style"/>
          <w:sz w:val="24"/>
          <w:szCs w:val="24"/>
        </w:rPr>
        <w:t>exception</w:t>
      </w:r>
      <w:r w:rsidR="00E650AA" w:rsidRPr="00433DEA">
        <w:rPr>
          <w:rFonts w:ascii="Bookman Old Style" w:hAnsi="Bookman Old Style"/>
          <w:sz w:val="24"/>
          <w:szCs w:val="24"/>
        </w:rPr>
        <w:t>al</w:t>
      </w:r>
      <w:r w:rsidR="00B87AB3" w:rsidRPr="00433DEA">
        <w:rPr>
          <w:rFonts w:ascii="Bookman Old Style" w:hAnsi="Bookman Old Style"/>
          <w:sz w:val="24"/>
          <w:szCs w:val="24"/>
        </w:rPr>
        <w:t xml:space="preserve"> </w:t>
      </w:r>
      <w:r w:rsidR="00AC3422" w:rsidRPr="00433DEA">
        <w:rPr>
          <w:rFonts w:ascii="Bookman Old Style" w:hAnsi="Bookman Old Style"/>
          <w:sz w:val="24"/>
          <w:szCs w:val="24"/>
        </w:rPr>
        <w:t xml:space="preserve">caution or skill, only </w:t>
      </w:r>
      <w:r w:rsidR="008A2DA7" w:rsidRPr="00433DEA">
        <w:rPr>
          <w:rFonts w:ascii="Bookman Old Style" w:hAnsi="Bookman Old Style"/>
          <w:sz w:val="24"/>
          <w:szCs w:val="24"/>
        </w:rPr>
        <w:t xml:space="preserve">the care </w:t>
      </w:r>
      <w:r w:rsidR="009B5138" w:rsidRPr="00433DEA">
        <w:rPr>
          <w:rFonts w:ascii="Bookman Old Style" w:hAnsi="Bookman Old Style"/>
          <w:sz w:val="24"/>
          <w:szCs w:val="24"/>
        </w:rPr>
        <w:t xml:space="preserve">that </w:t>
      </w:r>
      <w:r w:rsidR="008A2DA7" w:rsidRPr="00433DEA">
        <w:rPr>
          <w:rFonts w:ascii="Bookman Old Style" w:hAnsi="Bookman Old Style"/>
          <w:sz w:val="24"/>
          <w:szCs w:val="24"/>
        </w:rPr>
        <w:t xml:space="preserve">a </w:t>
      </w:r>
      <w:r w:rsidR="00AC3422" w:rsidRPr="00433DEA">
        <w:rPr>
          <w:rFonts w:ascii="Bookman Old Style" w:hAnsi="Bookman Old Style"/>
          <w:sz w:val="24"/>
          <w:szCs w:val="24"/>
        </w:rPr>
        <w:t>reasonabl</w:t>
      </w:r>
      <w:r w:rsidR="008A2DA7" w:rsidRPr="00433DEA">
        <w:rPr>
          <w:rFonts w:ascii="Bookman Old Style" w:hAnsi="Bookman Old Style"/>
          <w:sz w:val="24"/>
          <w:szCs w:val="24"/>
        </w:rPr>
        <w:t>y</w:t>
      </w:r>
      <w:r w:rsidR="0048736B" w:rsidRPr="00433DEA">
        <w:rPr>
          <w:rFonts w:ascii="Bookman Old Style" w:hAnsi="Bookman Old Style"/>
          <w:sz w:val="24"/>
          <w:szCs w:val="24"/>
        </w:rPr>
        <w:t xml:space="preserve"> careful </w:t>
      </w:r>
      <w:r w:rsidR="008A2DA7" w:rsidRPr="00433DEA">
        <w:rPr>
          <w:rFonts w:ascii="Bookman Old Style" w:hAnsi="Bookman Old Style"/>
          <w:sz w:val="24"/>
          <w:szCs w:val="24"/>
        </w:rPr>
        <w:t>owner of the [bailed property]</w:t>
      </w:r>
      <w:r w:rsidR="009B5138" w:rsidRPr="00433DEA">
        <w:rPr>
          <w:rFonts w:ascii="Bookman Old Style" w:hAnsi="Bookman Old Style"/>
          <w:sz w:val="24"/>
          <w:szCs w:val="24"/>
        </w:rPr>
        <w:t xml:space="preserve"> would exercise</w:t>
      </w:r>
      <w:r w:rsidR="00AC3422" w:rsidRPr="00433DEA">
        <w:rPr>
          <w:rFonts w:ascii="Bookman Old Style" w:hAnsi="Bookman Old Style"/>
          <w:sz w:val="24"/>
          <w:szCs w:val="24"/>
        </w:rPr>
        <w:t>.</w:t>
      </w:r>
      <w:r w:rsidRPr="00433DEA">
        <w:rPr>
          <w:rFonts w:ascii="Bookman Old Style" w:hAnsi="Bookman Old Style"/>
          <w:sz w:val="24"/>
          <w:szCs w:val="24"/>
        </w:rPr>
        <w:t xml:space="preserve">   </w:t>
      </w:r>
    </w:p>
    <w:p w:rsidR="004F3529" w:rsidRPr="00433DEA" w:rsidRDefault="004F3529" w:rsidP="007869AB">
      <w:pPr>
        <w:widowControl w:val="0"/>
        <w:tabs>
          <w:tab w:val="left" w:pos="-1440"/>
          <w:tab w:val="left" w:pos="-720"/>
        </w:tabs>
        <w:spacing w:line="360" w:lineRule="auto"/>
        <w:jc w:val="both"/>
        <w:rPr>
          <w:sz w:val="24"/>
          <w:szCs w:val="24"/>
        </w:rPr>
      </w:pPr>
    </w:p>
    <w:p w:rsidR="00A318A5" w:rsidRPr="00433DEA" w:rsidRDefault="00AC3422" w:rsidP="007869A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rPr>
          <w:rFonts w:ascii="Bookman Old Style" w:hAnsi="Bookman Old Style"/>
          <w:sz w:val="24"/>
          <w:szCs w:val="24"/>
        </w:rPr>
      </w:pPr>
      <w:r w:rsidRPr="00433DEA">
        <w:rPr>
          <w:rFonts w:ascii="Bookman Old Style" w:hAnsi="Bookman Old Style"/>
          <w:sz w:val="24"/>
          <w:szCs w:val="24"/>
        </w:rPr>
        <w:t>Y</w:t>
      </w:r>
      <w:r w:rsidR="00A318A5" w:rsidRPr="00433DEA">
        <w:rPr>
          <w:rFonts w:ascii="Bookman Old Style" w:hAnsi="Bookman Old Style"/>
          <w:sz w:val="24"/>
          <w:szCs w:val="24"/>
        </w:rPr>
        <w:t xml:space="preserve">ou must decide </w:t>
      </w:r>
      <w:r w:rsidRPr="00433DEA">
        <w:rPr>
          <w:rFonts w:ascii="Bookman Old Style" w:hAnsi="Bookman Old Style"/>
          <w:sz w:val="24"/>
          <w:szCs w:val="24"/>
        </w:rPr>
        <w:t xml:space="preserve">how a reasonably </w:t>
      </w:r>
      <w:r w:rsidR="0048736B" w:rsidRPr="00433DEA">
        <w:rPr>
          <w:rFonts w:ascii="Bookman Old Style" w:hAnsi="Bookman Old Style"/>
          <w:sz w:val="24"/>
          <w:szCs w:val="24"/>
        </w:rPr>
        <w:t>careful</w:t>
      </w:r>
      <w:r w:rsidR="008A2DA7" w:rsidRPr="00433DEA">
        <w:rPr>
          <w:rFonts w:ascii="Bookman Old Style" w:hAnsi="Bookman Old Style"/>
          <w:sz w:val="24"/>
          <w:szCs w:val="24"/>
        </w:rPr>
        <w:t xml:space="preserve"> owner of the [bailed property]</w:t>
      </w:r>
      <w:r w:rsidRPr="00433DEA">
        <w:rPr>
          <w:rFonts w:ascii="Bookman Old Style" w:hAnsi="Bookman Old Style"/>
          <w:sz w:val="24"/>
          <w:szCs w:val="24"/>
        </w:rPr>
        <w:t xml:space="preserve"> would have acted in </w:t>
      </w:r>
      <w:r w:rsidR="00A318A5" w:rsidRPr="00433DEA">
        <w:rPr>
          <w:rFonts w:ascii="Bookman Old Style" w:hAnsi="Bookman Old Style"/>
          <w:sz w:val="24"/>
          <w:szCs w:val="24"/>
        </w:rPr>
        <w:t>[defendant</w:t>
      </w:r>
      <w:r w:rsidRPr="00433DEA">
        <w:rPr>
          <w:rFonts w:ascii="Bookman Old Style" w:hAnsi="Bookman Old Style"/>
          <w:sz w:val="24"/>
          <w:szCs w:val="24"/>
        </w:rPr>
        <w:t>’s</w:t>
      </w:r>
      <w:r w:rsidR="00A318A5" w:rsidRPr="00433DEA">
        <w:rPr>
          <w:rFonts w:ascii="Bookman Old Style" w:hAnsi="Bookman Old Style"/>
          <w:sz w:val="24"/>
          <w:szCs w:val="24"/>
        </w:rPr>
        <w:t>]</w:t>
      </w:r>
      <w:r w:rsidRPr="00433DEA">
        <w:rPr>
          <w:rFonts w:ascii="Bookman Old Style" w:hAnsi="Bookman Old Style"/>
          <w:sz w:val="24"/>
          <w:szCs w:val="24"/>
        </w:rPr>
        <w:t xml:space="preserve"> situation. </w:t>
      </w:r>
    </w:p>
    <w:p w:rsidR="00AC3422" w:rsidRPr="00433DEA" w:rsidRDefault="00AC3422" w:rsidP="00B87AB3">
      <w:pPr>
        <w:pStyle w:val="BodyText"/>
        <w:spacing w:line="240" w:lineRule="auto"/>
        <w:rPr>
          <w:rFonts w:ascii="Bookman Old Style" w:hAnsi="Bookman Old Style"/>
          <w:sz w:val="24"/>
          <w:szCs w:val="24"/>
        </w:rPr>
      </w:pPr>
    </w:p>
    <w:p w:rsidR="00A318A5" w:rsidRPr="00433DEA" w:rsidRDefault="000D7DAB" w:rsidP="00B87AB3">
      <w:pPr>
        <w:pStyle w:val="Title"/>
        <w:rPr>
          <w:rFonts w:ascii="Bookman Old Style" w:hAnsi="Bookman Old Style"/>
          <w:b/>
          <w:sz w:val="24"/>
          <w:szCs w:val="24"/>
          <w:u w:val="none"/>
        </w:rPr>
      </w:pPr>
      <w:r w:rsidRPr="00433DEA">
        <w:rPr>
          <w:rFonts w:ascii="Bookman Old Style" w:hAnsi="Bookman Old Style"/>
          <w:b/>
          <w:sz w:val="24"/>
          <w:szCs w:val="24"/>
          <w:u w:val="none"/>
        </w:rPr>
        <w:t>Use</w:t>
      </w:r>
      <w:r w:rsidR="007860B5" w:rsidRPr="00433DEA">
        <w:rPr>
          <w:rFonts w:ascii="Bookman Old Style" w:hAnsi="Bookman Old Style"/>
          <w:b/>
          <w:sz w:val="24"/>
          <w:szCs w:val="24"/>
          <w:u w:val="none"/>
        </w:rPr>
        <w:t xml:space="preserve"> Note</w:t>
      </w:r>
    </w:p>
    <w:p w:rsidR="00A318A5" w:rsidRPr="00433DEA" w:rsidRDefault="00A318A5" w:rsidP="00B87AB3">
      <w:pPr>
        <w:jc w:val="both"/>
        <w:rPr>
          <w:rFonts w:ascii="Bookman Old Style" w:hAnsi="Bookman Old Style"/>
          <w:sz w:val="24"/>
          <w:szCs w:val="24"/>
          <w:u w:val="single"/>
        </w:rPr>
      </w:pPr>
    </w:p>
    <w:p w:rsidR="00BA2645" w:rsidRPr="00433DEA" w:rsidRDefault="00BA2645" w:rsidP="00B87AB3">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line="240" w:lineRule="auto"/>
        <w:rPr>
          <w:rFonts w:ascii="Bookman Old Style" w:hAnsi="Bookman Old Style"/>
          <w:sz w:val="24"/>
          <w:szCs w:val="24"/>
        </w:rPr>
      </w:pPr>
      <w:r w:rsidRPr="00433DEA">
        <w:rPr>
          <w:rFonts w:ascii="Bookman Old Style" w:hAnsi="Bookman Old Style"/>
          <w:sz w:val="24"/>
          <w:szCs w:val="24"/>
        </w:rPr>
        <w:t>Instruction 21.</w:t>
      </w:r>
      <w:r w:rsidR="008F2873" w:rsidRPr="00433DEA">
        <w:rPr>
          <w:rFonts w:ascii="Bookman Old Style" w:hAnsi="Bookman Old Style"/>
          <w:sz w:val="24"/>
          <w:szCs w:val="24"/>
        </w:rPr>
        <w:t>0</w:t>
      </w:r>
      <w:r w:rsidRPr="00433DEA">
        <w:rPr>
          <w:rFonts w:ascii="Bookman Old Style" w:hAnsi="Bookman Old Style"/>
          <w:sz w:val="24"/>
          <w:szCs w:val="24"/>
        </w:rPr>
        <w:t xml:space="preserve">2 should be given in a negligent bailment case when </w:t>
      </w:r>
      <w:r w:rsidR="005653AF" w:rsidRPr="00433DEA">
        <w:rPr>
          <w:rFonts w:ascii="Bookman Old Style" w:hAnsi="Bookman Old Style"/>
          <w:sz w:val="24"/>
          <w:szCs w:val="24"/>
        </w:rPr>
        <w:t xml:space="preserve">the </w:t>
      </w:r>
      <w:r w:rsidRPr="00433DEA">
        <w:rPr>
          <w:rFonts w:ascii="Bookman Old Style" w:hAnsi="Bookman Old Style"/>
          <w:sz w:val="24"/>
          <w:szCs w:val="24"/>
        </w:rPr>
        <w:t xml:space="preserve">defendant’s response to </w:t>
      </w:r>
      <w:r w:rsidR="005653AF" w:rsidRPr="00433DEA">
        <w:rPr>
          <w:rFonts w:ascii="Bookman Old Style" w:hAnsi="Bookman Old Style"/>
          <w:sz w:val="24"/>
          <w:szCs w:val="24"/>
        </w:rPr>
        <w:t xml:space="preserve">the </w:t>
      </w:r>
      <w:r w:rsidRPr="00433DEA">
        <w:rPr>
          <w:rFonts w:ascii="Bookman Old Style" w:hAnsi="Bookman Old Style"/>
          <w:sz w:val="24"/>
          <w:szCs w:val="24"/>
        </w:rPr>
        <w:t xml:space="preserve">plaintiff’s prima facie case includes a defense that the damage or loss to the bailed property was beyond </w:t>
      </w:r>
      <w:r w:rsidR="005653AF" w:rsidRPr="00433DEA">
        <w:rPr>
          <w:rFonts w:ascii="Bookman Old Style" w:hAnsi="Bookman Old Style"/>
          <w:sz w:val="24"/>
          <w:szCs w:val="24"/>
        </w:rPr>
        <w:t xml:space="preserve">the </w:t>
      </w:r>
      <w:r w:rsidRPr="00433DEA">
        <w:rPr>
          <w:rFonts w:ascii="Bookman Old Style" w:hAnsi="Bookman Old Style"/>
          <w:sz w:val="24"/>
          <w:szCs w:val="24"/>
        </w:rPr>
        <w:t>defendant’s control</w:t>
      </w:r>
      <w:r w:rsidR="005653AF" w:rsidRPr="00433DEA">
        <w:rPr>
          <w:rFonts w:ascii="Bookman Old Style" w:hAnsi="Bookman Old Style"/>
          <w:sz w:val="24"/>
          <w:szCs w:val="24"/>
        </w:rPr>
        <w:t>,</w:t>
      </w:r>
      <w:r w:rsidRPr="00433DEA">
        <w:rPr>
          <w:rFonts w:ascii="Bookman Old Style" w:hAnsi="Bookman Old Style"/>
          <w:sz w:val="24"/>
          <w:szCs w:val="24"/>
        </w:rPr>
        <w:t xml:space="preserve"> and the defendant used due care to protect the bailed property.</w:t>
      </w:r>
    </w:p>
    <w:p w:rsidR="00A318A5" w:rsidRPr="00433DEA" w:rsidRDefault="00A318A5" w:rsidP="00B87AB3">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line="240" w:lineRule="auto"/>
        <w:rPr>
          <w:rFonts w:ascii="Bookman Old Style" w:hAnsi="Bookman Old Style"/>
          <w:sz w:val="24"/>
          <w:szCs w:val="24"/>
        </w:rPr>
      </w:pPr>
    </w:p>
    <w:p w:rsidR="00A318A5" w:rsidRPr="00433DEA" w:rsidRDefault="00A318A5" w:rsidP="00B87AB3">
      <w:pPr>
        <w:pStyle w:val="Heading1"/>
        <w:rPr>
          <w:rFonts w:ascii="Bookman Old Style" w:hAnsi="Bookman Old Style"/>
          <w:b/>
          <w:sz w:val="24"/>
          <w:szCs w:val="24"/>
          <w:u w:val="none"/>
        </w:rPr>
      </w:pPr>
      <w:r w:rsidRPr="00433DEA">
        <w:rPr>
          <w:rFonts w:ascii="Bookman Old Style" w:hAnsi="Bookman Old Style"/>
          <w:b/>
          <w:sz w:val="24"/>
          <w:szCs w:val="24"/>
          <w:u w:val="none"/>
        </w:rPr>
        <w:t>Comment</w:t>
      </w:r>
    </w:p>
    <w:p w:rsidR="00A318A5" w:rsidRPr="00433DEA" w:rsidRDefault="00A318A5" w:rsidP="00B87AB3">
      <w:pPr>
        <w:jc w:val="both"/>
        <w:rPr>
          <w:rFonts w:ascii="Bookman Old Style" w:hAnsi="Bookman Old Style"/>
          <w:sz w:val="24"/>
          <w:szCs w:val="24"/>
        </w:rPr>
      </w:pPr>
    </w:p>
    <w:p w:rsidR="002C3F5B" w:rsidRPr="00433DEA" w:rsidRDefault="00AC3422" w:rsidP="00B87AB3">
      <w:pPr>
        <w:pStyle w:val="OmniPage1"/>
        <w:spacing w:line="240" w:lineRule="auto"/>
        <w:ind w:left="62" w:right="54" w:firstLine="3"/>
        <w:jc w:val="both"/>
        <w:rPr>
          <w:rFonts w:ascii="Bookman Old Style" w:hAnsi="Bookman Old Style"/>
          <w:sz w:val="24"/>
          <w:szCs w:val="24"/>
        </w:rPr>
      </w:pPr>
      <w:r w:rsidRPr="00433DEA">
        <w:rPr>
          <w:rFonts w:ascii="Bookman Old Style" w:hAnsi="Bookman Old Style"/>
          <w:sz w:val="24"/>
          <w:szCs w:val="24"/>
        </w:rPr>
        <w:t xml:space="preserve">This instruction is </w:t>
      </w:r>
      <w:r w:rsidR="008F2873" w:rsidRPr="00433DEA">
        <w:rPr>
          <w:rFonts w:ascii="Bookman Old Style" w:hAnsi="Bookman Old Style"/>
          <w:sz w:val="24"/>
          <w:szCs w:val="24"/>
        </w:rPr>
        <w:t>based on Negligence</w:t>
      </w:r>
      <w:r w:rsidR="005653AF" w:rsidRPr="00433DEA">
        <w:rPr>
          <w:rFonts w:ascii="Bookman Old Style" w:hAnsi="Bookman Old Style"/>
          <w:sz w:val="24"/>
          <w:szCs w:val="24"/>
        </w:rPr>
        <w:t xml:space="preserve"> </w:t>
      </w:r>
      <w:r w:rsidR="00FB51E9" w:rsidRPr="00433DEA">
        <w:rPr>
          <w:rFonts w:ascii="Bookman Old Style" w:hAnsi="Bookman Old Style"/>
          <w:sz w:val="24"/>
          <w:szCs w:val="24"/>
        </w:rPr>
        <w:t>Instruction 3.03A</w:t>
      </w:r>
      <w:r w:rsidR="008F2873" w:rsidRPr="00433DEA">
        <w:rPr>
          <w:rFonts w:ascii="Bookman Old Style" w:hAnsi="Bookman Old Style"/>
          <w:sz w:val="24"/>
          <w:szCs w:val="24"/>
        </w:rPr>
        <w:t xml:space="preserve"> (</w:t>
      </w:r>
      <w:r w:rsidR="005653AF" w:rsidRPr="00433DEA">
        <w:rPr>
          <w:rFonts w:ascii="Bookman Old Style" w:hAnsi="Bookman Old Style"/>
          <w:sz w:val="24"/>
          <w:szCs w:val="24"/>
        </w:rPr>
        <w:t xml:space="preserve">Negligence Defined – </w:t>
      </w:r>
      <w:r w:rsidR="00FB51E9" w:rsidRPr="00433DEA">
        <w:rPr>
          <w:rFonts w:ascii="Bookman Old Style" w:hAnsi="Bookman Old Style"/>
          <w:sz w:val="24"/>
          <w:szCs w:val="24"/>
        </w:rPr>
        <w:t>Adult</w:t>
      </w:r>
      <w:r w:rsidR="008F2873" w:rsidRPr="00433DEA">
        <w:rPr>
          <w:rFonts w:ascii="Bookman Old Style" w:hAnsi="Bookman Old Style"/>
          <w:sz w:val="24"/>
          <w:szCs w:val="24"/>
        </w:rPr>
        <w:t>)</w:t>
      </w:r>
      <w:r w:rsidR="00FB51E9" w:rsidRPr="00433DEA">
        <w:rPr>
          <w:rFonts w:ascii="Bookman Old Style" w:hAnsi="Bookman Old Style"/>
          <w:sz w:val="24"/>
          <w:szCs w:val="24"/>
        </w:rPr>
        <w:t xml:space="preserve"> and Alaska case law</w:t>
      </w:r>
      <w:r w:rsidRPr="00433DEA">
        <w:rPr>
          <w:rFonts w:ascii="Bookman Old Style" w:hAnsi="Bookman Old Style"/>
          <w:sz w:val="24"/>
          <w:szCs w:val="24"/>
        </w:rPr>
        <w:t xml:space="preserve">. </w:t>
      </w:r>
      <w:r w:rsidR="002C3F5B" w:rsidRPr="00433DEA">
        <w:rPr>
          <w:rFonts w:ascii="Bookman Old Style" w:hAnsi="Bookman Old Style"/>
          <w:sz w:val="24"/>
          <w:szCs w:val="24"/>
        </w:rPr>
        <w:t xml:space="preserve">If the defendant in a negligent bailment case puts </w:t>
      </w:r>
      <w:r w:rsidR="00205FEC" w:rsidRPr="00433DEA">
        <w:rPr>
          <w:rFonts w:ascii="Bookman Old Style" w:hAnsi="Bookman Old Style"/>
          <w:sz w:val="24"/>
          <w:szCs w:val="24"/>
        </w:rPr>
        <w:t xml:space="preserve">on </w:t>
      </w:r>
      <w:r w:rsidR="002C3F5B" w:rsidRPr="00433DEA">
        <w:rPr>
          <w:rFonts w:ascii="Bookman Old Style" w:hAnsi="Bookman Old Style"/>
          <w:sz w:val="24"/>
          <w:szCs w:val="24"/>
        </w:rPr>
        <w:t>evidence that the damage to or loss of the bailed property was beyond his or her control and evidence allowing an inference of reasonable care, the plaintiff must meet the elements of a negligence case.</w:t>
      </w:r>
      <w:r w:rsidR="005653AF" w:rsidRPr="00433DEA">
        <w:rPr>
          <w:rFonts w:ascii="Bookman Old Style" w:hAnsi="Bookman Old Style"/>
          <w:sz w:val="24"/>
          <w:szCs w:val="24"/>
        </w:rPr>
        <w:t xml:space="preserve"> </w:t>
      </w:r>
      <w:r w:rsidR="002C3F5B" w:rsidRPr="00433DEA">
        <w:rPr>
          <w:rFonts w:ascii="Bookman Old Style" w:hAnsi="Bookman Old Style"/>
          <w:i/>
          <w:sz w:val="24"/>
          <w:szCs w:val="24"/>
        </w:rPr>
        <w:t>E.g</w:t>
      </w:r>
      <w:r w:rsidR="002C3F5B" w:rsidRPr="00433DEA">
        <w:rPr>
          <w:rFonts w:ascii="Bookman Old Style" w:hAnsi="Bookman Old Style"/>
          <w:sz w:val="24"/>
          <w:szCs w:val="24"/>
        </w:rPr>
        <w:t xml:space="preserve">., </w:t>
      </w:r>
      <w:r w:rsidR="002C3F5B" w:rsidRPr="00433DEA">
        <w:rPr>
          <w:rFonts w:ascii="Bookman Old Style" w:hAnsi="Bookman Old Style"/>
          <w:i/>
          <w:sz w:val="24"/>
          <w:szCs w:val="24"/>
        </w:rPr>
        <w:t>Coster v. Piekarski</w:t>
      </w:r>
      <w:r w:rsidR="002C3F5B" w:rsidRPr="00433DEA">
        <w:rPr>
          <w:rFonts w:ascii="Bookman Old Style" w:hAnsi="Bookman Old Style"/>
          <w:sz w:val="24"/>
          <w:szCs w:val="24"/>
        </w:rPr>
        <w:t xml:space="preserve">, 3 P.3d 333, 334 (Alaska 2000); </w:t>
      </w:r>
      <w:r w:rsidR="002C3F5B" w:rsidRPr="00433DEA">
        <w:rPr>
          <w:rFonts w:ascii="Bookman Old Style" w:hAnsi="Bookman Old Style"/>
          <w:i/>
          <w:sz w:val="24"/>
          <w:szCs w:val="24"/>
        </w:rPr>
        <w:t>Silvers v. Silvers</w:t>
      </w:r>
      <w:r w:rsidR="002C3F5B" w:rsidRPr="00433DEA">
        <w:rPr>
          <w:rFonts w:ascii="Bookman Old Style" w:hAnsi="Bookman Old Style"/>
          <w:sz w:val="24"/>
          <w:szCs w:val="24"/>
        </w:rPr>
        <w:t>, 999 P.2d 786</w:t>
      </w:r>
      <w:r w:rsidR="00AD47DD" w:rsidRPr="00433DEA">
        <w:rPr>
          <w:rFonts w:ascii="Bookman Old Style" w:hAnsi="Bookman Old Style"/>
          <w:sz w:val="24"/>
          <w:szCs w:val="24"/>
        </w:rPr>
        <w:t xml:space="preserve">, </w:t>
      </w:r>
      <w:r w:rsidR="002C3F5B" w:rsidRPr="00433DEA">
        <w:rPr>
          <w:rFonts w:ascii="Bookman Old Style" w:hAnsi="Bookman Old Style"/>
          <w:sz w:val="24"/>
          <w:szCs w:val="24"/>
        </w:rPr>
        <w:t>79</w:t>
      </w:r>
      <w:r w:rsidR="00AD47DD" w:rsidRPr="00433DEA">
        <w:rPr>
          <w:rFonts w:ascii="Bookman Old Style" w:hAnsi="Bookman Old Style"/>
          <w:sz w:val="24"/>
          <w:szCs w:val="24"/>
        </w:rPr>
        <w:t>3</w:t>
      </w:r>
      <w:r w:rsidR="002C3F5B" w:rsidRPr="00433DEA">
        <w:rPr>
          <w:rFonts w:ascii="Bookman Old Style" w:hAnsi="Bookman Old Style"/>
          <w:sz w:val="24"/>
          <w:szCs w:val="24"/>
        </w:rPr>
        <w:t xml:space="preserve"> (Alaska 2000).  Instruction 21.</w:t>
      </w:r>
      <w:r w:rsidR="005653AF" w:rsidRPr="00433DEA">
        <w:rPr>
          <w:rFonts w:ascii="Bookman Old Style" w:hAnsi="Bookman Old Style"/>
          <w:sz w:val="24"/>
          <w:szCs w:val="24"/>
        </w:rPr>
        <w:t>0</w:t>
      </w:r>
      <w:r w:rsidR="002C3F5B" w:rsidRPr="00433DEA">
        <w:rPr>
          <w:rFonts w:ascii="Bookman Old Style" w:hAnsi="Bookman Old Style"/>
          <w:sz w:val="24"/>
          <w:szCs w:val="24"/>
        </w:rPr>
        <w:t xml:space="preserve">2 would be given in that case.  If the defendant does not make such a showing, the plaintiff can rely on </w:t>
      </w:r>
      <w:r w:rsidR="00205FEC" w:rsidRPr="00433DEA">
        <w:rPr>
          <w:rFonts w:ascii="Bookman Old Style" w:hAnsi="Bookman Old Style"/>
          <w:sz w:val="24"/>
          <w:szCs w:val="24"/>
        </w:rPr>
        <w:t xml:space="preserve">the </w:t>
      </w:r>
      <w:r w:rsidR="002C3F5B" w:rsidRPr="00433DEA">
        <w:rPr>
          <w:rFonts w:ascii="Bookman Old Style" w:hAnsi="Bookman Old Style"/>
          <w:sz w:val="24"/>
          <w:szCs w:val="24"/>
        </w:rPr>
        <w:t>prima facie case</w:t>
      </w:r>
      <w:r w:rsidR="00205FEC" w:rsidRPr="00433DEA">
        <w:rPr>
          <w:rFonts w:ascii="Bookman Old Style" w:hAnsi="Bookman Old Style"/>
          <w:sz w:val="24"/>
          <w:szCs w:val="24"/>
        </w:rPr>
        <w:t>,</w:t>
      </w:r>
      <w:r w:rsidR="002C3F5B" w:rsidRPr="00433DEA">
        <w:rPr>
          <w:rFonts w:ascii="Bookman Old Style" w:hAnsi="Bookman Old Style"/>
          <w:sz w:val="24"/>
          <w:szCs w:val="24"/>
        </w:rPr>
        <w:t xml:space="preserve"> which requires only that the plaintiff show there was a bailment and that the bailed property was damaged or lost.</w:t>
      </w:r>
      <w:r w:rsidR="005653AF" w:rsidRPr="00433DEA">
        <w:rPr>
          <w:rFonts w:ascii="Bookman Old Style" w:hAnsi="Bookman Old Style"/>
          <w:sz w:val="24"/>
          <w:szCs w:val="24"/>
        </w:rPr>
        <w:t xml:space="preserve"> </w:t>
      </w:r>
      <w:r w:rsidR="00C21825" w:rsidRPr="00433DEA">
        <w:rPr>
          <w:rFonts w:ascii="Bookman Old Style" w:hAnsi="Bookman Old Style"/>
          <w:i/>
          <w:sz w:val="24"/>
          <w:szCs w:val="24"/>
        </w:rPr>
        <w:t>See, e</w:t>
      </w:r>
      <w:r w:rsidR="002C3F5B" w:rsidRPr="00433DEA">
        <w:rPr>
          <w:rFonts w:ascii="Bookman Old Style" w:hAnsi="Bookman Old Style"/>
          <w:i/>
          <w:sz w:val="24"/>
          <w:szCs w:val="24"/>
        </w:rPr>
        <w:t>.g</w:t>
      </w:r>
      <w:r w:rsidR="002C3F5B" w:rsidRPr="00433DEA">
        <w:rPr>
          <w:rFonts w:ascii="Bookman Old Style" w:hAnsi="Bookman Old Style"/>
          <w:sz w:val="24"/>
          <w:szCs w:val="24"/>
        </w:rPr>
        <w:t xml:space="preserve">., </w:t>
      </w:r>
      <w:r w:rsidR="002C3F5B" w:rsidRPr="00433DEA">
        <w:rPr>
          <w:rFonts w:ascii="Bookman Old Style" w:hAnsi="Bookman Old Style"/>
          <w:i/>
          <w:sz w:val="24"/>
          <w:szCs w:val="24"/>
        </w:rPr>
        <w:t>Coster,</w:t>
      </w:r>
      <w:r w:rsidR="005653AF" w:rsidRPr="00433DEA">
        <w:rPr>
          <w:rFonts w:ascii="Bookman Old Style" w:hAnsi="Bookman Old Style"/>
          <w:i/>
          <w:sz w:val="24"/>
          <w:szCs w:val="24"/>
        </w:rPr>
        <w:t xml:space="preserve"> </w:t>
      </w:r>
      <w:r w:rsidR="002C3F5B" w:rsidRPr="00433DEA">
        <w:rPr>
          <w:rFonts w:ascii="Bookman Old Style" w:hAnsi="Bookman Old Style"/>
          <w:sz w:val="24"/>
          <w:szCs w:val="24"/>
        </w:rPr>
        <w:t xml:space="preserve">3 P.3d at 334; </w:t>
      </w:r>
      <w:r w:rsidR="002C3F5B" w:rsidRPr="00433DEA">
        <w:rPr>
          <w:rFonts w:ascii="Bookman Old Style" w:hAnsi="Bookman Old Style"/>
          <w:i/>
          <w:sz w:val="24"/>
          <w:szCs w:val="24"/>
        </w:rPr>
        <w:t>State v. Stanley</w:t>
      </w:r>
      <w:r w:rsidR="002C3F5B" w:rsidRPr="00433DEA">
        <w:rPr>
          <w:rFonts w:ascii="Bookman Old Style" w:hAnsi="Bookman Old Style"/>
          <w:sz w:val="24"/>
          <w:szCs w:val="24"/>
        </w:rPr>
        <w:t>, 506 P.2d 1284, 128</w:t>
      </w:r>
      <w:r w:rsidR="00C21825" w:rsidRPr="00433DEA">
        <w:rPr>
          <w:rFonts w:ascii="Bookman Old Style" w:hAnsi="Bookman Old Style"/>
          <w:sz w:val="24"/>
          <w:szCs w:val="24"/>
        </w:rPr>
        <w:t>8</w:t>
      </w:r>
      <w:r w:rsidR="005653AF" w:rsidRPr="00433DEA">
        <w:rPr>
          <w:rFonts w:ascii="Bookman Old Style" w:hAnsi="Bookman Old Style"/>
          <w:sz w:val="24"/>
          <w:szCs w:val="24"/>
        </w:rPr>
        <w:t>-</w:t>
      </w:r>
      <w:r w:rsidR="002C3F5B" w:rsidRPr="00433DEA">
        <w:rPr>
          <w:rFonts w:ascii="Bookman Old Style" w:hAnsi="Bookman Old Style"/>
          <w:sz w:val="24"/>
          <w:szCs w:val="24"/>
        </w:rPr>
        <w:t xml:space="preserve">89 (Alaska 1973). </w:t>
      </w:r>
      <w:r w:rsidR="005653AF" w:rsidRPr="00433DEA">
        <w:rPr>
          <w:rFonts w:ascii="Bookman Old Style" w:hAnsi="Bookman Old Style"/>
          <w:sz w:val="24"/>
          <w:szCs w:val="24"/>
        </w:rPr>
        <w:t>In the latter case, I</w:t>
      </w:r>
      <w:r w:rsidR="002C3F5B" w:rsidRPr="00433DEA">
        <w:rPr>
          <w:rFonts w:ascii="Bookman Old Style" w:hAnsi="Bookman Old Style"/>
          <w:sz w:val="24"/>
          <w:szCs w:val="24"/>
        </w:rPr>
        <w:t>nstruction 21.</w:t>
      </w:r>
      <w:r w:rsidR="005653AF" w:rsidRPr="00433DEA">
        <w:rPr>
          <w:rFonts w:ascii="Bookman Old Style" w:hAnsi="Bookman Old Style"/>
          <w:sz w:val="24"/>
          <w:szCs w:val="24"/>
        </w:rPr>
        <w:t>0</w:t>
      </w:r>
      <w:r w:rsidR="002C3F5B" w:rsidRPr="00433DEA">
        <w:rPr>
          <w:rFonts w:ascii="Bookman Old Style" w:hAnsi="Bookman Old Style"/>
          <w:sz w:val="24"/>
          <w:szCs w:val="24"/>
        </w:rPr>
        <w:t xml:space="preserve">2 would not be given.   </w:t>
      </w:r>
    </w:p>
    <w:p w:rsidR="00AC3422" w:rsidRPr="00433DEA" w:rsidRDefault="00AC3422" w:rsidP="00B87AB3">
      <w:pPr>
        <w:jc w:val="both"/>
        <w:rPr>
          <w:rFonts w:ascii="Bookman Old Style" w:hAnsi="Bookman Old Style"/>
          <w:sz w:val="24"/>
          <w:szCs w:val="24"/>
        </w:rPr>
      </w:pPr>
    </w:p>
    <w:p w:rsidR="00152020" w:rsidRPr="00433DEA" w:rsidRDefault="00AB2450" w:rsidP="00B87AB3">
      <w:pPr>
        <w:pStyle w:val="OmniPage1"/>
        <w:spacing w:line="240" w:lineRule="auto"/>
        <w:ind w:left="62" w:right="54" w:firstLine="3"/>
        <w:jc w:val="both"/>
        <w:rPr>
          <w:rFonts w:ascii="Bookman Old Style" w:hAnsi="Bookman Old Style"/>
          <w:sz w:val="24"/>
          <w:szCs w:val="24"/>
        </w:rPr>
      </w:pPr>
      <w:r w:rsidRPr="00433DEA">
        <w:rPr>
          <w:rFonts w:ascii="Bookman Old Style" w:hAnsi="Bookman Old Style"/>
          <w:sz w:val="24"/>
          <w:szCs w:val="24"/>
        </w:rPr>
        <w:t>T</w:t>
      </w:r>
      <w:r w:rsidR="00A318A5" w:rsidRPr="00433DEA">
        <w:rPr>
          <w:rFonts w:ascii="Bookman Old Style" w:hAnsi="Bookman Old Style"/>
          <w:sz w:val="24"/>
          <w:szCs w:val="24"/>
        </w:rPr>
        <w:t xml:space="preserve">he jury is required to weigh </w:t>
      </w:r>
      <w:r w:rsidRPr="00433DEA">
        <w:rPr>
          <w:rFonts w:ascii="Bookman Old Style" w:hAnsi="Bookman Old Style"/>
          <w:sz w:val="24"/>
          <w:szCs w:val="24"/>
        </w:rPr>
        <w:t xml:space="preserve">the </w:t>
      </w:r>
      <w:r w:rsidR="00A318A5" w:rsidRPr="00433DEA">
        <w:rPr>
          <w:rFonts w:ascii="Bookman Old Style" w:hAnsi="Bookman Old Style"/>
          <w:sz w:val="24"/>
          <w:szCs w:val="24"/>
        </w:rPr>
        <w:t>actions of persons charged with negligen</w:t>
      </w:r>
      <w:r w:rsidR="0048736B" w:rsidRPr="00433DEA">
        <w:rPr>
          <w:rFonts w:ascii="Bookman Old Style" w:hAnsi="Bookman Old Style"/>
          <w:sz w:val="24"/>
          <w:szCs w:val="24"/>
        </w:rPr>
        <w:t>t bailment a</w:t>
      </w:r>
      <w:r w:rsidR="00A318A5" w:rsidRPr="00433DEA">
        <w:rPr>
          <w:rFonts w:ascii="Bookman Old Style" w:hAnsi="Bookman Old Style"/>
          <w:sz w:val="24"/>
          <w:szCs w:val="24"/>
        </w:rPr>
        <w:t xml:space="preserve">gainst the standard of conduct of a reasonable </w:t>
      </w:r>
      <w:r w:rsidR="00603A47" w:rsidRPr="00433DEA">
        <w:rPr>
          <w:rFonts w:ascii="Bookman Old Style" w:hAnsi="Bookman Old Style"/>
          <w:sz w:val="24"/>
          <w:szCs w:val="24"/>
        </w:rPr>
        <w:t xml:space="preserve">owner </w:t>
      </w:r>
      <w:r w:rsidR="0048736B" w:rsidRPr="00433DEA">
        <w:rPr>
          <w:rFonts w:ascii="Bookman Old Style" w:hAnsi="Bookman Old Style"/>
          <w:sz w:val="24"/>
          <w:szCs w:val="24"/>
        </w:rPr>
        <w:t xml:space="preserve">of the bailed property </w:t>
      </w:r>
      <w:r w:rsidR="00A318A5" w:rsidRPr="00433DEA">
        <w:rPr>
          <w:rFonts w:ascii="Bookman Old Style" w:hAnsi="Bookman Old Style"/>
          <w:sz w:val="24"/>
          <w:szCs w:val="24"/>
        </w:rPr>
        <w:t xml:space="preserve">in </w:t>
      </w:r>
      <w:r w:rsidR="00330B4F" w:rsidRPr="00433DEA">
        <w:rPr>
          <w:rFonts w:ascii="Bookman Old Style" w:hAnsi="Bookman Old Style"/>
          <w:sz w:val="24"/>
          <w:szCs w:val="24"/>
        </w:rPr>
        <w:t>similar</w:t>
      </w:r>
      <w:r w:rsidR="00A318A5" w:rsidRPr="00433DEA">
        <w:rPr>
          <w:rFonts w:ascii="Bookman Old Style" w:hAnsi="Bookman Old Style"/>
          <w:sz w:val="24"/>
          <w:szCs w:val="24"/>
        </w:rPr>
        <w:t xml:space="preserve"> circumstances. </w:t>
      </w:r>
      <w:r w:rsidR="00664FFD" w:rsidRPr="00433DEA">
        <w:rPr>
          <w:rFonts w:ascii="Bookman Old Style" w:hAnsi="Bookman Old Style"/>
          <w:sz w:val="24"/>
          <w:szCs w:val="24"/>
        </w:rPr>
        <w:t xml:space="preserve">The bailee has a duty to exercise the degree of care of a reasonably careful owner.  </w:t>
      </w:r>
      <w:r w:rsidR="00664FFD" w:rsidRPr="00433DEA">
        <w:rPr>
          <w:rFonts w:ascii="Bookman Old Style" w:hAnsi="Bookman Old Style"/>
          <w:i/>
          <w:sz w:val="24"/>
          <w:szCs w:val="24"/>
        </w:rPr>
        <w:t>E.g</w:t>
      </w:r>
      <w:r w:rsidR="00664FFD" w:rsidRPr="00433DEA">
        <w:rPr>
          <w:rFonts w:ascii="Bookman Old Style" w:hAnsi="Bookman Old Style"/>
          <w:sz w:val="24"/>
          <w:szCs w:val="24"/>
        </w:rPr>
        <w:t xml:space="preserve">., </w:t>
      </w:r>
      <w:r w:rsidR="00664FFD" w:rsidRPr="00433DEA">
        <w:rPr>
          <w:rFonts w:ascii="Bookman Old Style" w:hAnsi="Bookman Old Style"/>
          <w:i/>
          <w:sz w:val="24"/>
          <w:szCs w:val="24"/>
        </w:rPr>
        <w:t>Madonna v. Tamarack Air, Ltd.</w:t>
      </w:r>
      <w:r w:rsidR="00664FFD" w:rsidRPr="00433DEA">
        <w:rPr>
          <w:rFonts w:ascii="Bookman Old Style" w:hAnsi="Bookman Old Style"/>
          <w:sz w:val="24"/>
          <w:szCs w:val="24"/>
        </w:rPr>
        <w:t xml:space="preserve">, 298 P.3d 875, 880 (Alaska 2013);  </w:t>
      </w:r>
      <w:r w:rsidR="00664FFD" w:rsidRPr="00433DEA">
        <w:rPr>
          <w:rFonts w:ascii="Bookman Old Style" w:hAnsi="Bookman Old Style"/>
          <w:i/>
          <w:sz w:val="24"/>
          <w:szCs w:val="24"/>
        </w:rPr>
        <w:t>Coster v. Piekarski</w:t>
      </w:r>
      <w:r w:rsidR="00664FFD" w:rsidRPr="00433DEA">
        <w:rPr>
          <w:rFonts w:ascii="Bookman Old Style" w:hAnsi="Bookman Old Style"/>
          <w:sz w:val="24"/>
          <w:szCs w:val="24"/>
        </w:rPr>
        <w:t xml:space="preserve">, 3 P.3d 333, 335 (Alaska 2000). </w:t>
      </w:r>
      <w:r w:rsidR="0048736B" w:rsidRPr="00433DEA">
        <w:rPr>
          <w:rFonts w:ascii="Bookman Old Style" w:hAnsi="Bookman Old Style"/>
          <w:i/>
          <w:sz w:val="24"/>
          <w:szCs w:val="24"/>
        </w:rPr>
        <w:t>See</w:t>
      </w:r>
      <w:r w:rsidR="0048736B" w:rsidRPr="00433DEA">
        <w:rPr>
          <w:rFonts w:ascii="Bookman Old Style" w:hAnsi="Bookman Old Style"/>
          <w:sz w:val="24"/>
          <w:szCs w:val="24"/>
        </w:rPr>
        <w:t xml:space="preserve"> </w:t>
      </w:r>
      <w:r w:rsidR="004F4F48" w:rsidRPr="00433DEA">
        <w:rPr>
          <w:rFonts w:ascii="Bookman Old Style" w:hAnsi="Bookman Old Style"/>
          <w:i/>
          <w:sz w:val="24"/>
          <w:szCs w:val="24"/>
        </w:rPr>
        <w:t>Lyons v. Midnight Sun Transp. Services, Inc.</w:t>
      </w:r>
      <w:r w:rsidR="004F4F48" w:rsidRPr="00433DEA">
        <w:rPr>
          <w:rFonts w:ascii="Bookman Old Style" w:hAnsi="Bookman Old Style"/>
          <w:sz w:val="24"/>
          <w:szCs w:val="24"/>
        </w:rPr>
        <w:t>, 928 P.2d 1202, 1203 (Alaska 1996)</w:t>
      </w:r>
      <w:r w:rsidR="0048736B" w:rsidRPr="00433DEA">
        <w:rPr>
          <w:rFonts w:ascii="Bookman Old Style" w:hAnsi="Bookman Old Style"/>
          <w:sz w:val="24"/>
          <w:szCs w:val="24"/>
        </w:rPr>
        <w:t>(</w:t>
      </w:r>
      <w:r w:rsidR="00B87AB3" w:rsidRPr="00433DEA">
        <w:rPr>
          <w:rFonts w:ascii="Bookman Old Style" w:hAnsi="Bookman Old Style"/>
          <w:sz w:val="24"/>
          <w:szCs w:val="24"/>
        </w:rPr>
        <w:t xml:space="preserve">reasonable person is typically the standard in a </w:t>
      </w:r>
      <w:r w:rsidR="0048736B" w:rsidRPr="00433DEA">
        <w:rPr>
          <w:rFonts w:ascii="Bookman Old Style" w:hAnsi="Bookman Old Style"/>
          <w:sz w:val="24"/>
          <w:szCs w:val="24"/>
        </w:rPr>
        <w:t>negli</w:t>
      </w:r>
      <w:r w:rsidR="00B87AB3" w:rsidRPr="00433DEA">
        <w:rPr>
          <w:rFonts w:ascii="Bookman Old Style" w:hAnsi="Bookman Old Style"/>
          <w:sz w:val="24"/>
          <w:szCs w:val="24"/>
        </w:rPr>
        <w:t>g</w:t>
      </w:r>
      <w:r w:rsidR="0048736B" w:rsidRPr="00433DEA">
        <w:rPr>
          <w:rFonts w:ascii="Bookman Old Style" w:hAnsi="Bookman Old Style"/>
          <w:sz w:val="24"/>
          <w:szCs w:val="24"/>
        </w:rPr>
        <w:t>ence case not involving  a bailment)</w:t>
      </w:r>
      <w:r w:rsidR="004F4F48" w:rsidRPr="00433DEA">
        <w:rPr>
          <w:rFonts w:ascii="Bookman Old Style" w:hAnsi="Bookman Old Style"/>
          <w:sz w:val="24"/>
          <w:szCs w:val="24"/>
        </w:rPr>
        <w:t xml:space="preserve">. </w:t>
      </w:r>
    </w:p>
    <w:p w:rsidR="00664FFD" w:rsidRPr="00433DEA" w:rsidRDefault="00664FFD" w:rsidP="00B87AB3">
      <w:pPr>
        <w:pStyle w:val="OmniPage1"/>
        <w:spacing w:line="240" w:lineRule="auto"/>
        <w:ind w:left="62" w:right="54" w:firstLine="3"/>
        <w:jc w:val="both"/>
        <w:rPr>
          <w:rFonts w:ascii="Bookman Old Style" w:hAnsi="Bookman Old Style"/>
          <w:sz w:val="24"/>
          <w:szCs w:val="24"/>
        </w:rPr>
      </w:pPr>
    </w:p>
    <w:p w:rsidR="00A318A5" w:rsidRPr="00433DEA" w:rsidRDefault="00A50EF6" w:rsidP="00932F76">
      <w:pPr>
        <w:pStyle w:val="OmniPage1"/>
        <w:spacing w:line="240" w:lineRule="auto"/>
        <w:ind w:left="62" w:right="54" w:firstLine="3"/>
        <w:jc w:val="both"/>
        <w:rPr>
          <w:rFonts w:ascii="Bookman Old Style" w:hAnsi="Bookman Old Style"/>
          <w:sz w:val="24"/>
          <w:szCs w:val="24"/>
        </w:rPr>
      </w:pPr>
      <w:r w:rsidRPr="00433DEA">
        <w:rPr>
          <w:rFonts w:ascii="Bookman Old Style" w:hAnsi="Bookman Old Style"/>
          <w:sz w:val="24"/>
          <w:szCs w:val="24"/>
        </w:rPr>
        <w:t>What is reasonable will depend on the particular circumstances of each bailment.</w:t>
      </w:r>
      <w:r w:rsidRPr="00433DEA">
        <w:rPr>
          <w:rFonts w:ascii="Bookman Old Style" w:hAnsi="Bookman Old Style"/>
          <w:i/>
          <w:sz w:val="24"/>
          <w:szCs w:val="24"/>
        </w:rPr>
        <w:t xml:space="preserve"> Coster,</w:t>
      </w:r>
      <w:r w:rsidR="007423BA" w:rsidRPr="00433DEA">
        <w:rPr>
          <w:rFonts w:ascii="Bookman Old Style" w:hAnsi="Bookman Old Style"/>
          <w:i/>
          <w:sz w:val="24"/>
          <w:szCs w:val="24"/>
        </w:rPr>
        <w:t xml:space="preserve"> </w:t>
      </w:r>
      <w:r w:rsidRPr="00433DEA">
        <w:rPr>
          <w:rFonts w:ascii="Bookman Old Style" w:hAnsi="Bookman Old Style"/>
          <w:sz w:val="24"/>
          <w:szCs w:val="24"/>
        </w:rPr>
        <w:t>3 P.3d at 335</w:t>
      </w:r>
      <w:r w:rsidR="007423BA" w:rsidRPr="00433DEA">
        <w:rPr>
          <w:rFonts w:ascii="Bookman Old Style" w:hAnsi="Bookman Old Style"/>
          <w:sz w:val="24"/>
          <w:szCs w:val="24"/>
        </w:rPr>
        <w:t>.</w:t>
      </w:r>
      <w:r w:rsidR="006239F4" w:rsidRPr="00433DEA">
        <w:rPr>
          <w:rFonts w:ascii="Bookman Old Style" w:hAnsi="Bookman Old Style"/>
          <w:sz w:val="24"/>
          <w:szCs w:val="24"/>
        </w:rPr>
        <w:t xml:space="preserve"> </w:t>
      </w:r>
    </w:p>
    <w:sectPr w:rsidR="00A318A5" w:rsidRPr="00433DEA" w:rsidSect="000D7DAB">
      <w:headerReference w:type="default" r:id="rId7"/>
      <w:footerReference w:type="default" r:id="rId8"/>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A15" w:rsidRDefault="00B26A15">
      <w:r>
        <w:separator/>
      </w:r>
    </w:p>
  </w:endnote>
  <w:endnote w:type="continuationSeparator" w:id="0">
    <w:p w:rsidR="00B26A15" w:rsidRDefault="00B2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E96" w:rsidRPr="00433DEA" w:rsidRDefault="00E914F5" w:rsidP="00B87AB3">
    <w:pPr>
      <w:pStyle w:val="Footer"/>
      <w:tabs>
        <w:tab w:val="clear" w:pos="8640"/>
        <w:tab w:val="right" w:pos="9360"/>
      </w:tabs>
      <w:rPr>
        <w:rFonts w:ascii="Bookman Old Style" w:hAnsi="Bookman Old Style"/>
        <w:sz w:val="22"/>
        <w:szCs w:val="22"/>
      </w:rPr>
    </w:pPr>
    <w:r w:rsidRPr="00433DEA">
      <w:rPr>
        <w:rFonts w:ascii="Bookman Old Style" w:hAnsi="Bookman Old Style"/>
        <w:sz w:val="22"/>
        <w:szCs w:val="22"/>
      </w:rPr>
      <w:t>20</w:t>
    </w:r>
    <w:r w:rsidR="00F16D00" w:rsidRPr="00433DEA">
      <w:rPr>
        <w:rFonts w:ascii="Bookman Old Style" w:hAnsi="Bookman Old Style"/>
        <w:sz w:val="22"/>
        <w:szCs w:val="22"/>
      </w:rPr>
      <w:t>1</w:t>
    </w:r>
    <w:r w:rsidR="007860B5" w:rsidRPr="00433DEA">
      <w:rPr>
        <w:rFonts w:ascii="Bookman Old Style" w:hAnsi="Bookman Old Style"/>
        <w:sz w:val="22"/>
        <w:szCs w:val="22"/>
      </w:rPr>
      <w:t>5</w:t>
    </w:r>
    <w:r w:rsidR="006B1E96" w:rsidRPr="00433DEA">
      <w:rPr>
        <w:rFonts w:ascii="Bookman Old Style" w:hAnsi="Bookman Old Style"/>
        <w:sz w:val="22"/>
        <w:szCs w:val="22"/>
      </w:rPr>
      <w:tab/>
    </w:r>
    <w:r w:rsidR="006B1E96" w:rsidRPr="00433DEA">
      <w:rPr>
        <w:rFonts w:ascii="Bookman Old Style" w:hAnsi="Bookman Old Style"/>
        <w:sz w:val="22"/>
        <w:szCs w:val="22"/>
      </w:rPr>
      <w:tab/>
    </w:r>
    <w:r w:rsidR="00F16D00" w:rsidRPr="00433DEA">
      <w:rPr>
        <w:rFonts w:ascii="Bookman Old Style" w:hAnsi="Bookman Old Style"/>
        <w:sz w:val="22"/>
        <w:szCs w:val="22"/>
      </w:rPr>
      <w:t>21.</w:t>
    </w:r>
    <w:r w:rsidR="007423BA" w:rsidRPr="00433DEA">
      <w:rPr>
        <w:rFonts w:ascii="Bookman Old Style" w:hAnsi="Bookman Old Style"/>
        <w:sz w:val="22"/>
        <w:szCs w:val="22"/>
      </w:rPr>
      <w:t>0</w:t>
    </w:r>
    <w:r w:rsidR="00F16D00" w:rsidRPr="00433DEA">
      <w:rPr>
        <w:rFonts w:ascii="Bookman Old Style" w:hAnsi="Bookman Old Style"/>
        <w:sz w:val="22"/>
        <w:szCs w:val="22"/>
      </w:rPr>
      <w:t>2</w:t>
    </w:r>
    <w:r w:rsidR="006B1E96" w:rsidRPr="00433DEA">
      <w:rPr>
        <w:rFonts w:ascii="Bookman Old Style" w:hAnsi="Bookman Old Style"/>
        <w:sz w:val="22"/>
        <w:szCs w:val="22"/>
      </w:rPr>
      <w:t xml:space="preserve"> - </w:t>
    </w:r>
    <w:r w:rsidR="00433DEA" w:rsidRPr="00433DEA">
      <w:rPr>
        <w:rFonts w:ascii="Bookman Old Style" w:hAnsi="Bookman Old Style"/>
        <w:sz w:val="22"/>
        <w:szCs w:val="22"/>
      </w:rPr>
      <w:t xml:space="preserve">Page </w:t>
    </w:r>
    <w:r w:rsidR="00433DEA" w:rsidRPr="00433DEA">
      <w:rPr>
        <w:rFonts w:ascii="Bookman Old Style" w:hAnsi="Bookman Old Style"/>
        <w:sz w:val="22"/>
        <w:szCs w:val="22"/>
      </w:rPr>
      <w:fldChar w:fldCharType="begin"/>
    </w:r>
    <w:r w:rsidR="00433DEA" w:rsidRPr="00433DEA">
      <w:rPr>
        <w:rFonts w:ascii="Bookman Old Style" w:hAnsi="Bookman Old Style"/>
        <w:sz w:val="22"/>
        <w:szCs w:val="22"/>
      </w:rPr>
      <w:instrText xml:space="preserve"> PAGE  \* Arabic  \* MERGEFORMAT </w:instrText>
    </w:r>
    <w:r w:rsidR="00433DEA" w:rsidRPr="00433DEA">
      <w:rPr>
        <w:rFonts w:ascii="Bookman Old Style" w:hAnsi="Bookman Old Style"/>
        <w:sz w:val="22"/>
        <w:szCs w:val="22"/>
      </w:rPr>
      <w:fldChar w:fldCharType="separate"/>
    </w:r>
    <w:r w:rsidR="00E9749A">
      <w:rPr>
        <w:rFonts w:ascii="Bookman Old Style" w:hAnsi="Bookman Old Style"/>
        <w:noProof/>
        <w:sz w:val="22"/>
        <w:szCs w:val="22"/>
      </w:rPr>
      <w:t>1</w:t>
    </w:r>
    <w:r w:rsidR="00433DEA" w:rsidRPr="00433DEA">
      <w:rPr>
        <w:rFonts w:ascii="Bookman Old Style" w:hAnsi="Bookman Old Style"/>
        <w:sz w:val="22"/>
        <w:szCs w:val="22"/>
      </w:rPr>
      <w:fldChar w:fldCharType="end"/>
    </w:r>
    <w:r w:rsidR="00433DEA" w:rsidRPr="00433DEA">
      <w:rPr>
        <w:rFonts w:ascii="Bookman Old Style" w:hAnsi="Bookman Old Style"/>
        <w:sz w:val="22"/>
        <w:szCs w:val="22"/>
      </w:rPr>
      <w:t xml:space="preserve"> of </w:t>
    </w:r>
    <w:r w:rsidR="00433DEA" w:rsidRPr="00433DEA">
      <w:rPr>
        <w:rFonts w:ascii="Bookman Old Style" w:hAnsi="Bookman Old Style"/>
        <w:sz w:val="22"/>
        <w:szCs w:val="22"/>
      </w:rPr>
      <w:fldChar w:fldCharType="begin"/>
    </w:r>
    <w:r w:rsidR="00433DEA" w:rsidRPr="00433DEA">
      <w:rPr>
        <w:rFonts w:ascii="Bookman Old Style" w:hAnsi="Bookman Old Style"/>
        <w:sz w:val="22"/>
        <w:szCs w:val="22"/>
      </w:rPr>
      <w:instrText xml:space="preserve"> NUMPAGES  \* Arabic  \* MERGEFORMAT </w:instrText>
    </w:r>
    <w:r w:rsidR="00433DEA" w:rsidRPr="00433DEA">
      <w:rPr>
        <w:rFonts w:ascii="Bookman Old Style" w:hAnsi="Bookman Old Style"/>
        <w:sz w:val="22"/>
        <w:szCs w:val="22"/>
      </w:rPr>
      <w:fldChar w:fldCharType="separate"/>
    </w:r>
    <w:r w:rsidR="00E9749A">
      <w:rPr>
        <w:rFonts w:ascii="Bookman Old Style" w:hAnsi="Bookman Old Style"/>
        <w:noProof/>
        <w:sz w:val="22"/>
        <w:szCs w:val="22"/>
      </w:rPr>
      <w:t>2</w:t>
    </w:r>
    <w:r w:rsidR="00433DEA" w:rsidRPr="00433DEA">
      <w:rPr>
        <w:rFonts w:ascii="Bookman Old Style" w:hAnsi="Bookman Old Style"/>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A15" w:rsidRDefault="00B26A15">
      <w:r>
        <w:separator/>
      </w:r>
    </w:p>
  </w:footnote>
  <w:footnote w:type="continuationSeparator" w:id="0">
    <w:p w:rsidR="00B26A15" w:rsidRDefault="00B26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E96" w:rsidRPr="004B0D6A" w:rsidRDefault="006B1E96">
    <w:pPr>
      <w:pStyle w:val="Header"/>
      <w:jc w:val="right"/>
      <w:rPr>
        <w:rFonts w:ascii="Bookman Old Style" w:hAnsi="Bookman Old Sty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92"/>
    <w:rsid w:val="000171BF"/>
    <w:rsid w:val="00032554"/>
    <w:rsid w:val="0003504D"/>
    <w:rsid w:val="00047FD1"/>
    <w:rsid w:val="00070856"/>
    <w:rsid w:val="000778A7"/>
    <w:rsid w:val="00093C23"/>
    <w:rsid w:val="000979A2"/>
    <w:rsid w:val="000D7DAB"/>
    <w:rsid w:val="001136CB"/>
    <w:rsid w:val="0011675D"/>
    <w:rsid w:val="00121D25"/>
    <w:rsid w:val="00136D08"/>
    <w:rsid w:val="00152020"/>
    <w:rsid w:val="00152346"/>
    <w:rsid w:val="001646D6"/>
    <w:rsid w:val="00165E4C"/>
    <w:rsid w:val="00170500"/>
    <w:rsid w:val="001768E8"/>
    <w:rsid w:val="00197B68"/>
    <w:rsid w:val="001A10E2"/>
    <w:rsid w:val="001E65E4"/>
    <w:rsid w:val="001F455B"/>
    <w:rsid w:val="001F66C5"/>
    <w:rsid w:val="00205FEC"/>
    <w:rsid w:val="00277F5C"/>
    <w:rsid w:val="002B6514"/>
    <w:rsid w:val="002C3F5B"/>
    <w:rsid w:val="002F2EC8"/>
    <w:rsid w:val="00330B4F"/>
    <w:rsid w:val="00334860"/>
    <w:rsid w:val="0036558E"/>
    <w:rsid w:val="003726C2"/>
    <w:rsid w:val="00377D38"/>
    <w:rsid w:val="003D0291"/>
    <w:rsid w:val="003D3FDB"/>
    <w:rsid w:val="003D55A3"/>
    <w:rsid w:val="003F7B26"/>
    <w:rsid w:val="00404B1C"/>
    <w:rsid w:val="00433DEA"/>
    <w:rsid w:val="00446461"/>
    <w:rsid w:val="00461CDA"/>
    <w:rsid w:val="00464D34"/>
    <w:rsid w:val="0048736B"/>
    <w:rsid w:val="0049517C"/>
    <w:rsid w:val="004B0D6A"/>
    <w:rsid w:val="004C44B7"/>
    <w:rsid w:val="004D77A8"/>
    <w:rsid w:val="004E45D5"/>
    <w:rsid w:val="004F2C8F"/>
    <w:rsid w:val="004F3529"/>
    <w:rsid w:val="004F4F48"/>
    <w:rsid w:val="00504D8C"/>
    <w:rsid w:val="005324FF"/>
    <w:rsid w:val="00532737"/>
    <w:rsid w:val="00557829"/>
    <w:rsid w:val="005653AF"/>
    <w:rsid w:val="00571C17"/>
    <w:rsid w:val="005925FD"/>
    <w:rsid w:val="00597892"/>
    <w:rsid w:val="005B0D9A"/>
    <w:rsid w:val="005B3E05"/>
    <w:rsid w:val="005F71B4"/>
    <w:rsid w:val="00603A47"/>
    <w:rsid w:val="00606435"/>
    <w:rsid w:val="00621058"/>
    <w:rsid w:val="006239F4"/>
    <w:rsid w:val="00644C6C"/>
    <w:rsid w:val="006514D1"/>
    <w:rsid w:val="006561CB"/>
    <w:rsid w:val="00664FFD"/>
    <w:rsid w:val="006A24A5"/>
    <w:rsid w:val="006B1E96"/>
    <w:rsid w:val="0070739A"/>
    <w:rsid w:val="007234B6"/>
    <w:rsid w:val="007423BA"/>
    <w:rsid w:val="007860B5"/>
    <w:rsid w:val="007869AB"/>
    <w:rsid w:val="00791745"/>
    <w:rsid w:val="007C1606"/>
    <w:rsid w:val="007D5EB3"/>
    <w:rsid w:val="008022C3"/>
    <w:rsid w:val="008179EC"/>
    <w:rsid w:val="008331CC"/>
    <w:rsid w:val="008432DB"/>
    <w:rsid w:val="00852720"/>
    <w:rsid w:val="00872003"/>
    <w:rsid w:val="0088476E"/>
    <w:rsid w:val="008A2DA7"/>
    <w:rsid w:val="008F2873"/>
    <w:rsid w:val="009156F0"/>
    <w:rsid w:val="00925EAB"/>
    <w:rsid w:val="00932F76"/>
    <w:rsid w:val="009429F9"/>
    <w:rsid w:val="00946AE3"/>
    <w:rsid w:val="009A0374"/>
    <w:rsid w:val="009B5138"/>
    <w:rsid w:val="009D6D98"/>
    <w:rsid w:val="00A054D0"/>
    <w:rsid w:val="00A21E25"/>
    <w:rsid w:val="00A2357B"/>
    <w:rsid w:val="00A318A5"/>
    <w:rsid w:val="00A50EF6"/>
    <w:rsid w:val="00A610AE"/>
    <w:rsid w:val="00A74217"/>
    <w:rsid w:val="00A8088C"/>
    <w:rsid w:val="00A90051"/>
    <w:rsid w:val="00A94799"/>
    <w:rsid w:val="00A955C6"/>
    <w:rsid w:val="00AB14DE"/>
    <w:rsid w:val="00AB2450"/>
    <w:rsid w:val="00AC3422"/>
    <w:rsid w:val="00AD47DD"/>
    <w:rsid w:val="00AD5477"/>
    <w:rsid w:val="00AE42DD"/>
    <w:rsid w:val="00B10B32"/>
    <w:rsid w:val="00B26A15"/>
    <w:rsid w:val="00B44855"/>
    <w:rsid w:val="00B87AB3"/>
    <w:rsid w:val="00BA2645"/>
    <w:rsid w:val="00BB55F8"/>
    <w:rsid w:val="00C0198C"/>
    <w:rsid w:val="00C15747"/>
    <w:rsid w:val="00C21825"/>
    <w:rsid w:val="00C3525C"/>
    <w:rsid w:val="00C40E41"/>
    <w:rsid w:val="00C44B86"/>
    <w:rsid w:val="00C46D7B"/>
    <w:rsid w:val="00C60C50"/>
    <w:rsid w:val="00C616DC"/>
    <w:rsid w:val="00C93BDC"/>
    <w:rsid w:val="00CB2499"/>
    <w:rsid w:val="00CC5DF8"/>
    <w:rsid w:val="00CD22DA"/>
    <w:rsid w:val="00CD23F7"/>
    <w:rsid w:val="00D23447"/>
    <w:rsid w:val="00D40F4A"/>
    <w:rsid w:val="00DC47C1"/>
    <w:rsid w:val="00DE6CD9"/>
    <w:rsid w:val="00E02C86"/>
    <w:rsid w:val="00E03A7C"/>
    <w:rsid w:val="00E07900"/>
    <w:rsid w:val="00E650AA"/>
    <w:rsid w:val="00E67EB2"/>
    <w:rsid w:val="00E723D8"/>
    <w:rsid w:val="00E914F5"/>
    <w:rsid w:val="00E9749A"/>
    <w:rsid w:val="00EA1181"/>
    <w:rsid w:val="00EC46D9"/>
    <w:rsid w:val="00ED0471"/>
    <w:rsid w:val="00ED52CC"/>
    <w:rsid w:val="00F16D00"/>
    <w:rsid w:val="00F30947"/>
    <w:rsid w:val="00F5123F"/>
    <w:rsid w:val="00F519F7"/>
    <w:rsid w:val="00F558EF"/>
    <w:rsid w:val="00FB51E9"/>
    <w:rsid w:val="00FD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pPr>
    <w:rPr>
      <w:sz w:val="26"/>
    </w:rPr>
  </w:style>
  <w:style w:type="paragraph" w:styleId="Title">
    <w:name w:val="Title"/>
    <w:basedOn w:val="Normal"/>
    <w:qFormat/>
    <w:pPr>
      <w:jc w:val="center"/>
    </w:pPr>
    <w:rPr>
      <w:sz w:val="26"/>
      <w:u w:val="single"/>
    </w:rPr>
  </w:style>
  <w:style w:type="character" w:styleId="PageNumber">
    <w:name w:val="page number"/>
    <w:basedOn w:val="DefaultParagraphFont"/>
  </w:style>
  <w:style w:type="paragraph" w:customStyle="1" w:styleId="OmniPage1">
    <w:name w:val="OmniPage #1"/>
    <w:basedOn w:val="Normal"/>
    <w:rsid w:val="00ED52CC"/>
    <w:pPr>
      <w:spacing w:line="240" w:lineRule="exact"/>
    </w:pPr>
    <w:rPr>
      <w:rFonts w:ascii="Courier New" w:hAnsi="Courier New"/>
      <w:noProof/>
    </w:rPr>
  </w:style>
  <w:style w:type="paragraph" w:styleId="BalloonText">
    <w:name w:val="Balloon Text"/>
    <w:basedOn w:val="Normal"/>
    <w:semiHidden/>
    <w:rsid w:val="00ED52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pPr>
    <w:rPr>
      <w:sz w:val="26"/>
    </w:rPr>
  </w:style>
  <w:style w:type="paragraph" w:styleId="Title">
    <w:name w:val="Title"/>
    <w:basedOn w:val="Normal"/>
    <w:qFormat/>
    <w:pPr>
      <w:jc w:val="center"/>
    </w:pPr>
    <w:rPr>
      <w:sz w:val="26"/>
      <w:u w:val="single"/>
    </w:rPr>
  </w:style>
  <w:style w:type="character" w:styleId="PageNumber">
    <w:name w:val="page number"/>
    <w:basedOn w:val="DefaultParagraphFont"/>
  </w:style>
  <w:style w:type="paragraph" w:customStyle="1" w:styleId="OmniPage1">
    <w:name w:val="OmniPage #1"/>
    <w:basedOn w:val="Normal"/>
    <w:rsid w:val="00ED52CC"/>
    <w:pPr>
      <w:spacing w:line="240" w:lineRule="exact"/>
    </w:pPr>
    <w:rPr>
      <w:rFonts w:ascii="Courier New" w:hAnsi="Courier New"/>
      <w:noProof/>
    </w:rPr>
  </w:style>
  <w:style w:type="paragraph" w:styleId="BalloonText">
    <w:name w:val="Balloon Text"/>
    <w:basedOn w:val="Normal"/>
    <w:semiHidden/>
    <w:rsid w:val="00ED52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Track Changes Draft</vt:lpstr>
    </vt:vector>
  </TitlesOfParts>
  <Company>Alaska Court System</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 Changes Draft</dc:title>
  <dc:subject/>
  <dc:creator>korzechowski</dc:creator>
  <cp:keywords/>
  <cp:lastModifiedBy>Michael Merrington</cp:lastModifiedBy>
  <cp:revision>3</cp:revision>
  <cp:lastPrinted>2015-09-15T20:46:00Z</cp:lastPrinted>
  <dcterms:created xsi:type="dcterms:W3CDTF">2017-04-04T18:51:00Z</dcterms:created>
  <dcterms:modified xsi:type="dcterms:W3CDTF">2017-04-04T18:51:00Z</dcterms:modified>
</cp:coreProperties>
</file>