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6F" w:rsidRPr="00D9031B" w:rsidRDefault="00B35062" w:rsidP="003D30FA">
      <w:pPr>
        <w:pStyle w:val="OmniPage18"/>
        <w:tabs>
          <w:tab w:val="left" w:pos="1440"/>
          <w:tab w:val="right" w:pos="2963"/>
        </w:tabs>
        <w:spacing w:line="240" w:lineRule="auto"/>
        <w:jc w:val="both"/>
        <w:rPr>
          <w:rFonts w:ascii="Bookman Old Style" w:hAnsi="Bookman Old Style"/>
          <w:b/>
          <w:bCs/>
          <w:sz w:val="26"/>
        </w:rPr>
      </w:pPr>
      <w:bookmarkStart w:id="0" w:name="_GoBack"/>
      <w:bookmarkEnd w:id="0"/>
      <w:r>
        <w:rPr>
          <w:rFonts w:ascii="Bookman Old Style" w:hAnsi="Bookman Old Style"/>
          <w:b/>
          <w:bCs/>
          <w:sz w:val="26"/>
        </w:rPr>
        <w:t>21.</w:t>
      </w:r>
      <w:r w:rsidR="00125EDD">
        <w:rPr>
          <w:rFonts w:ascii="Bookman Old Style" w:hAnsi="Bookman Old Style"/>
          <w:b/>
          <w:bCs/>
          <w:sz w:val="26"/>
        </w:rPr>
        <w:t>0</w:t>
      </w:r>
      <w:r>
        <w:rPr>
          <w:rFonts w:ascii="Bookman Old Style" w:hAnsi="Bookman Old Style"/>
          <w:b/>
          <w:bCs/>
          <w:sz w:val="26"/>
        </w:rPr>
        <w:t xml:space="preserve">3 </w:t>
      </w:r>
      <w:r w:rsidR="006C226F" w:rsidRPr="00D9031B">
        <w:rPr>
          <w:rFonts w:ascii="Bookman Old Style" w:hAnsi="Bookman Old Style"/>
          <w:b/>
          <w:bCs/>
          <w:sz w:val="26"/>
        </w:rPr>
        <w:tab/>
      </w:r>
      <w:r>
        <w:rPr>
          <w:rFonts w:ascii="Bookman Old Style" w:hAnsi="Bookman Old Style"/>
          <w:b/>
          <w:bCs/>
          <w:sz w:val="26"/>
        </w:rPr>
        <w:t xml:space="preserve">NEGLIGENT BAILMENT </w:t>
      </w:r>
      <w:r w:rsidRPr="00AC22D0">
        <w:rPr>
          <w:rFonts w:ascii="Bookman Old Style" w:hAnsi="Bookman Old Style"/>
          <w:b/>
          <w:bCs/>
          <w:sz w:val="26"/>
        </w:rPr>
        <w:t xml:space="preserve">– </w:t>
      </w:r>
      <w:r w:rsidR="008B4325" w:rsidRPr="00D9031B">
        <w:rPr>
          <w:rFonts w:ascii="Bookman Old Style" w:hAnsi="Bookman Old Style"/>
          <w:b/>
          <w:bCs/>
          <w:sz w:val="26"/>
        </w:rPr>
        <w:t>SUBSTANTIAL FACTOR</w:t>
      </w:r>
    </w:p>
    <w:p w:rsidR="006C226F" w:rsidRDefault="006C226F" w:rsidP="003D30FA">
      <w:pPr>
        <w:pStyle w:val="OmniPage11"/>
        <w:tabs>
          <w:tab w:val="left" w:pos="1520"/>
        </w:tabs>
        <w:spacing w:line="240" w:lineRule="auto"/>
        <w:jc w:val="both"/>
        <w:rPr>
          <w:rFonts w:ascii="Bookman Old Style" w:hAnsi="Bookman Old Style"/>
          <w:sz w:val="26"/>
        </w:rPr>
      </w:pPr>
    </w:p>
    <w:p w:rsidR="001E1255" w:rsidRDefault="001E1255" w:rsidP="003D30FA">
      <w:pPr>
        <w:pStyle w:val="OmniPage11"/>
        <w:tabs>
          <w:tab w:val="left" w:pos="1520"/>
        </w:tabs>
        <w:spacing w:line="240" w:lineRule="auto"/>
        <w:jc w:val="both"/>
        <w:rPr>
          <w:rFonts w:ascii="Bookman Old Style" w:hAnsi="Bookman Old Style"/>
          <w:sz w:val="26"/>
        </w:rPr>
      </w:pPr>
    </w:p>
    <w:p w:rsidR="008B4325" w:rsidRPr="001E1255" w:rsidRDefault="008B4325" w:rsidP="0029577B">
      <w:pPr>
        <w:pStyle w:val="OmniPage1"/>
        <w:tabs>
          <w:tab w:val="left" w:pos="2224"/>
          <w:tab w:val="right" w:pos="9440"/>
        </w:tabs>
        <w:spacing w:line="360" w:lineRule="auto"/>
        <w:ind w:right="69"/>
        <w:jc w:val="both"/>
        <w:rPr>
          <w:rFonts w:ascii="Bookman Old Style" w:hAnsi="Bookman Old Style"/>
          <w:noProof w:val="0"/>
          <w:sz w:val="24"/>
          <w:szCs w:val="24"/>
        </w:rPr>
      </w:pPr>
      <w:r w:rsidRPr="001E1255">
        <w:rPr>
          <w:rFonts w:ascii="Bookman Old Style" w:hAnsi="Bookman Old Style"/>
          <w:noProof w:val="0"/>
          <w:sz w:val="24"/>
          <w:szCs w:val="24"/>
        </w:rPr>
        <w:t xml:space="preserve">Negligence is a substantial factor in causing </w:t>
      </w:r>
      <w:r w:rsidR="00744EFB" w:rsidRPr="001E1255">
        <w:rPr>
          <w:rFonts w:ascii="Bookman Old Style" w:hAnsi="Bookman Old Style"/>
          <w:noProof w:val="0"/>
          <w:sz w:val="24"/>
          <w:szCs w:val="24"/>
        </w:rPr>
        <w:t>[</w:t>
      </w:r>
      <w:r w:rsidR="000924C8" w:rsidRPr="001E1255">
        <w:rPr>
          <w:rFonts w:ascii="Bookman Old Style" w:hAnsi="Bookman Old Style"/>
          <w:noProof w:val="0"/>
          <w:sz w:val="24"/>
          <w:szCs w:val="24"/>
        </w:rPr>
        <w:t>damage to</w:t>
      </w:r>
      <w:r w:rsidR="00744EFB" w:rsidRPr="001E1255">
        <w:rPr>
          <w:rFonts w:ascii="Bookman Old Style" w:hAnsi="Bookman Old Style"/>
          <w:noProof w:val="0"/>
          <w:sz w:val="24"/>
          <w:szCs w:val="24"/>
        </w:rPr>
        <w:t>]</w:t>
      </w:r>
      <w:r w:rsidR="000924C8" w:rsidRPr="001E1255">
        <w:rPr>
          <w:rFonts w:ascii="Bookman Old Style" w:hAnsi="Bookman Old Style"/>
          <w:noProof w:val="0"/>
          <w:sz w:val="24"/>
          <w:szCs w:val="24"/>
        </w:rPr>
        <w:t xml:space="preserve"> </w:t>
      </w:r>
      <w:r w:rsidR="00744EFB" w:rsidRPr="001E1255">
        <w:rPr>
          <w:rFonts w:ascii="Bookman Old Style" w:hAnsi="Bookman Old Style"/>
          <w:noProof w:val="0"/>
          <w:sz w:val="24"/>
          <w:szCs w:val="24"/>
        </w:rPr>
        <w:t>[</w:t>
      </w:r>
      <w:r w:rsidR="000924C8" w:rsidRPr="001E1255">
        <w:rPr>
          <w:rFonts w:ascii="Bookman Old Style" w:hAnsi="Bookman Old Style"/>
          <w:noProof w:val="0"/>
          <w:sz w:val="24"/>
          <w:szCs w:val="24"/>
        </w:rPr>
        <w:t>loss of</w:t>
      </w:r>
      <w:r w:rsidR="00744EFB" w:rsidRPr="001E1255">
        <w:rPr>
          <w:rFonts w:ascii="Bookman Old Style" w:hAnsi="Bookman Old Style"/>
          <w:noProof w:val="0"/>
          <w:sz w:val="24"/>
          <w:szCs w:val="24"/>
        </w:rPr>
        <w:t>]</w:t>
      </w:r>
      <w:r w:rsidR="000924C8" w:rsidRPr="001E1255">
        <w:rPr>
          <w:rFonts w:ascii="Bookman Old Style" w:hAnsi="Bookman Old Style"/>
          <w:noProof w:val="0"/>
          <w:sz w:val="24"/>
          <w:szCs w:val="24"/>
        </w:rPr>
        <w:t xml:space="preserve"> the [bailed property] </w:t>
      </w:r>
      <w:r w:rsidRPr="001E1255">
        <w:rPr>
          <w:rFonts w:ascii="Bookman Old Style" w:hAnsi="Bookman Old Style"/>
          <w:noProof w:val="0"/>
          <w:sz w:val="24"/>
          <w:szCs w:val="24"/>
        </w:rPr>
        <w:t>if:</w:t>
      </w:r>
    </w:p>
    <w:p w:rsidR="008B4325" w:rsidRPr="001E1255" w:rsidRDefault="008B4325" w:rsidP="0029577B">
      <w:pPr>
        <w:pStyle w:val="OmniPage1"/>
        <w:tabs>
          <w:tab w:val="left" w:pos="720"/>
          <w:tab w:val="left" w:pos="2224"/>
          <w:tab w:val="right" w:pos="9440"/>
        </w:tabs>
        <w:spacing w:line="360" w:lineRule="auto"/>
        <w:ind w:left="720" w:right="69" w:hanging="720"/>
        <w:jc w:val="both"/>
        <w:rPr>
          <w:rFonts w:ascii="Bookman Old Style" w:hAnsi="Bookman Old Style"/>
          <w:noProof w:val="0"/>
          <w:sz w:val="24"/>
          <w:szCs w:val="24"/>
        </w:rPr>
      </w:pPr>
    </w:p>
    <w:p w:rsidR="008B4325" w:rsidRPr="001E1255" w:rsidRDefault="008B4325" w:rsidP="0029577B">
      <w:pPr>
        <w:pStyle w:val="OmniPage1"/>
        <w:tabs>
          <w:tab w:val="left" w:pos="720"/>
          <w:tab w:val="right" w:pos="9440"/>
        </w:tabs>
        <w:spacing w:line="360" w:lineRule="auto"/>
        <w:ind w:left="720" w:right="69" w:hanging="720"/>
        <w:jc w:val="both"/>
        <w:rPr>
          <w:rFonts w:ascii="Bookman Old Style" w:hAnsi="Bookman Old Style"/>
          <w:noProof w:val="0"/>
          <w:sz w:val="24"/>
          <w:szCs w:val="24"/>
        </w:rPr>
      </w:pPr>
      <w:r w:rsidRPr="001E1255">
        <w:rPr>
          <w:rFonts w:ascii="Bookman Old Style" w:hAnsi="Bookman Old Style"/>
          <w:noProof w:val="0"/>
          <w:sz w:val="24"/>
          <w:szCs w:val="24"/>
        </w:rPr>
        <w:t>(1)</w:t>
      </w:r>
      <w:r w:rsidRPr="001E1255">
        <w:rPr>
          <w:rFonts w:ascii="Bookman Old Style" w:hAnsi="Bookman Old Style"/>
          <w:noProof w:val="0"/>
          <w:sz w:val="24"/>
          <w:szCs w:val="24"/>
        </w:rPr>
        <w:tab/>
        <w:t>the</w:t>
      </w:r>
      <w:r w:rsidR="00D46C6B" w:rsidRPr="001E1255">
        <w:rPr>
          <w:rFonts w:ascii="Bookman Old Style" w:hAnsi="Bookman Old Style"/>
          <w:noProof w:val="0"/>
          <w:sz w:val="24"/>
          <w:szCs w:val="24"/>
        </w:rPr>
        <w:t xml:space="preserve"> </w:t>
      </w:r>
      <w:r w:rsidR="00744EFB" w:rsidRPr="001E1255">
        <w:rPr>
          <w:rFonts w:ascii="Bookman Old Style" w:hAnsi="Bookman Old Style"/>
          <w:noProof w:val="0"/>
          <w:sz w:val="24"/>
          <w:szCs w:val="24"/>
        </w:rPr>
        <w:t>[</w:t>
      </w:r>
      <w:r w:rsidR="000924C8" w:rsidRPr="001E1255">
        <w:rPr>
          <w:rFonts w:ascii="Bookman Old Style" w:hAnsi="Bookman Old Style"/>
          <w:noProof w:val="0"/>
          <w:sz w:val="24"/>
          <w:szCs w:val="24"/>
        </w:rPr>
        <w:t>damage</w:t>
      </w:r>
      <w:r w:rsidR="00744EFB" w:rsidRPr="001E1255">
        <w:rPr>
          <w:rFonts w:ascii="Bookman Old Style" w:hAnsi="Bookman Old Style"/>
          <w:noProof w:val="0"/>
          <w:sz w:val="24"/>
          <w:szCs w:val="24"/>
        </w:rPr>
        <w:t>]</w:t>
      </w:r>
      <w:r w:rsidR="000924C8" w:rsidRPr="001E1255">
        <w:rPr>
          <w:rFonts w:ascii="Bookman Old Style" w:hAnsi="Bookman Old Style"/>
          <w:noProof w:val="0"/>
          <w:sz w:val="24"/>
          <w:szCs w:val="24"/>
        </w:rPr>
        <w:t xml:space="preserve"> </w:t>
      </w:r>
      <w:r w:rsidR="00744EFB" w:rsidRPr="001E1255">
        <w:rPr>
          <w:rFonts w:ascii="Bookman Old Style" w:hAnsi="Bookman Old Style"/>
          <w:noProof w:val="0"/>
          <w:sz w:val="24"/>
          <w:szCs w:val="24"/>
        </w:rPr>
        <w:t>[</w:t>
      </w:r>
      <w:r w:rsidR="000924C8" w:rsidRPr="001E1255">
        <w:rPr>
          <w:rFonts w:ascii="Bookman Old Style" w:hAnsi="Bookman Old Style"/>
          <w:noProof w:val="0"/>
          <w:sz w:val="24"/>
          <w:szCs w:val="24"/>
        </w:rPr>
        <w:t>loss</w:t>
      </w:r>
      <w:r w:rsidR="00744EFB" w:rsidRPr="001E1255">
        <w:rPr>
          <w:rFonts w:ascii="Bookman Old Style" w:hAnsi="Bookman Old Style"/>
          <w:noProof w:val="0"/>
          <w:sz w:val="24"/>
          <w:szCs w:val="24"/>
        </w:rPr>
        <w:t>]</w:t>
      </w:r>
      <w:r w:rsidRPr="001E1255">
        <w:rPr>
          <w:rFonts w:ascii="Bookman Old Style" w:hAnsi="Bookman Old Style"/>
          <w:noProof w:val="0"/>
          <w:sz w:val="24"/>
          <w:szCs w:val="24"/>
        </w:rPr>
        <w:t xml:space="preserve"> would not have occurred without the negligence; and</w:t>
      </w:r>
    </w:p>
    <w:p w:rsidR="008B4325" w:rsidRPr="001E1255" w:rsidRDefault="008B4325" w:rsidP="0029577B">
      <w:pPr>
        <w:pStyle w:val="OmniPage1"/>
        <w:tabs>
          <w:tab w:val="left" w:pos="720"/>
          <w:tab w:val="left" w:pos="2224"/>
          <w:tab w:val="right" w:pos="9440"/>
        </w:tabs>
        <w:spacing w:line="360" w:lineRule="auto"/>
        <w:ind w:right="69"/>
        <w:jc w:val="both"/>
        <w:rPr>
          <w:rFonts w:ascii="Bookman Old Style" w:hAnsi="Bookman Old Style"/>
          <w:noProof w:val="0"/>
          <w:sz w:val="24"/>
          <w:szCs w:val="24"/>
        </w:rPr>
      </w:pPr>
    </w:p>
    <w:p w:rsidR="008B4325" w:rsidRPr="001E1255" w:rsidRDefault="008B4325" w:rsidP="0029577B">
      <w:pPr>
        <w:pStyle w:val="OmniPage1"/>
        <w:tabs>
          <w:tab w:val="left" w:pos="720"/>
          <w:tab w:val="left" w:pos="2224"/>
          <w:tab w:val="right" w:pos="9440"/>
        </w:tabs>
        <w:spacing w:line="360" w:lineRule="auto"/>
        <w:ind w:left="720" w:right="69" w:hanging="720"/>
        <w:jc w:val="both"/>
        <w:rPr>
          <w:rFonts w:ascii="Bookman Old Style" w:hAnsi="Bookman Old Style"/>
          <w:noProof w:val="0"/>
          <w:sz w:val="24"/>
          <w:szCs w:val="24"/>
        </w:rPr>
      </w:pPr>
      <w:r w:rsidRPr="001E1255">
        <w:rPr>
          <w:rFonts w:ascii="Bookman Old Style" w:hAnsi="Bookman Old Style"/>
          <w:noProof w:val="0"/>
          <w:sz w:val="24"/>
          <w:szCs w:val="24"/>
        </w:rPr>
        <w:t xml:space="preserve">(2) </w:t>
      </w:r>
      <w:r w:rsidRPr="001E1255">
        <w:rPr>
          <w:rFonts w:ascii="Bookman Old Style" w:hAnsi="Bookman Old Style"/>
          <w:noProof w:val="0"/>
          <w:sz w:val="24"/>
          <w:szCs w:val="24"/>
        </w:rPr>
        <w:tab/>
        <w:t xml:space="preserve">the negligence was important enough in causing the </w:t>
      </w:r>
      <w:r w:rsidR="00744EFB" w:rsidRPr="001E1255">
        <w:rPr>
          <w:rFonts w:ascii="Bookman Old Style" w:hAnsi="Bookman Old Style"/>
          <w:noProof w:val="0"/>
          <w:sz w:val="24"/>
          <w:szCs w:val="24"/>
        </w:rPr>
        <w:t>[</w:t>
      </w:r>
      <w:r w:rsidR="0063035C" w:rsidRPr="001E1255">
        <w:rPr>
          <w:rFonts w:ascii="Bookman Old Style" w:hAnsi="Bookman Old Style"/>
          <w:noProof w:val="0"/>
          <w:sz w:val="24"/>
          <w:szCs w:val="24"/>
        </w:rPr>
        <w:t>damage to</w:t>
      </w:r>
      <w:r w:rsidR="00744EFB" w:rsidRPr="001E1255">
        <w:rPr>
          <w:rFonts w:ascii="Bookman Old Style" w:hAnsi="Bookman Old Style"/>
          <w:noProof w:val="0"/>
          <w:sz w:val="24"/>
          <w:szCs w:val="24"/>
        </w:rPr>
        <w:t>]</w:t>
      </w:r>
      <w:r w:rsidR="0063035C" w:rsidRPr="001E1255">
        <w:rPr>
          <w:rFonts w:ascii="Bookman Old Style" w:hAnsi="Bookman Old Style"/>
          <w:noProof w:val="0"/>
          <w:sz w:val="24"/>
          <w:szCs w:val="24"/>
        </w:rPr>
        <w:t xml:space="preserve"> </w:t>
      </w:r>
      <w:r w:rsidR="00744EFB" w:rsidRPr="001E1255">
        <w:rPr>
          <w:rFonts w:ascii="Bookman Old Style" w:hAnsi="Bookman Old Style"/>
          <w:noProof w:val="0"/>
          <w:sz w:val="24"/>
          <w:szCs w:val="24"/>
        </w:rPr>
        <w:t>[</w:t>
      </w:r>
      <w:r w:rsidR="0063035C" w:rsidRPr="001E1255">
        <w:rPr>
          <w:rFonts w:ascii="Bookman Old Style" w:hAnsi="Bookman Old Style"/>
          <w:noProof w:val="0"/>
          <w:sz w:val="24"/>
          <w:szCs w:val="24"/>
        </w:rPr>
        <w:t>loss</w:t>
      </w:r>
      <w:r w:rsidR="00744EFB" w:rsidRPr="001E1255">
        <w:rPr>
          <w:rFonts w:ascii="Bookman Old Style" w:hAnsi="Bookman Old Style"/>
          <w:noProof w:val="0"/>
          <w:sz w:val="24"/>
          <w:szCs w:val="24"/>
        </w:rPr>
        <w:t>]</w:t>
      </w:r>
      <w:r w:rsidR="0063035C" w:rsidRPr="001E1255">
        <w:rPr>
          <w:rFonts w:ascii="Bookman Old Style" w:hAnsi="Bookman Old Style"/>
          <w:noProof w:val="0"/>
          <w:sz w:val="24"/>
          <w:szCs w:val="24"/>
        </w:rPr>
        <w:t xml:space="preserve"> of the [bailed property] </w:t>
      </w:r>
      <w:r w:rsidRPr="001E1255">
        <w:rPr>
          <w:rFonts w:ascii="Bookman Old Style" w:hAnsi="Bookman Old Style"/>
          <w:noProof w:val="0"/>
          <w:sz w:val="24"/>
          <w:szCs w:val="24"/>
        </w:rPr>
        <w:t xml:space="preserve">that </w:t>
      </w:r>
      <w:r w:rsidR="00B648FF" w:rsidRPr="001E1255">
        <w:rPr>
          <w:rFonts w:ascii="Bookman Old Style" w:hAnsi="Bookman Old Style"/>
          <w:noProof w:val="0"/>
          <w:sz w:val="24"/>
          <w:szCs w:val="24"/>
        </w:rPr>
        <w:t xml:space="preserve">a reasonable person would hold </w:t>
      </w:r>
      <w:r w:rsidRPr="001E1255">
        <w:rPr>
          <w:rFonts w:ascii="Bookman Old Style" w:hAnsi="Bookman Old Style"/>
          <w:noProof w:val="0"/>
          <w:sz w:val="24"/>
          <w:szCs w:val="24"/>
        </w:rPr>
        <w:t xml:space="preserve">the negligent person responsible. </w:t>
      </w:r>
      <w:r w:rsidR="00FC6573" w:rsidRPr="001E1255">
        <w:rPr>
          <w:rFonts w:ascii="Bookman Old Style" w:hAnsi="Bookman Old Style"/>
          <w:noProof w:val="0"/>
          <w:sz w:val="24"/>
          <w:szCs w:val="24"/>
        </w:rPr>
        <w:t xml:space="preserve"> </w:t>
      </w:r>
      <w:r w:rsidRPr="001E1255">
        <w:rPr>
          <w:rFonts w:ascii="Bookman Old Style" w:hAnsi="Bookman Old Style"/>
          <w:noProof w:val="0"/>
          <w:sz w:val="24"/>
          <w:szCs w:val="24"/>
        </w:rPr>
        <w:t xml:space="preserve">The negligence cannot be a remote or trivial factor. </w:t>
      </w:r>
    </w:p>
    <w:p w:rsidR="00214C19" w:rsidRPr="001E1255" w:rsidRDefault="00214C19" w:rsidP="0029577B">
      <w:pPr>
        <w:pStyle w:val="OmniPage11"/>
        <w:spacing w:line="360" w:lineRule="auto"/>
        <w:jc w:val="both"/>
        <w:rPr>
          <w:rFonts w:ascii="Bookman Old Style" w:hAnsi="Bookman Old Style"/>
          <w:sz w:val="24"/>
          <w:szCs w:val="24"/>
        </w:rPr>
      </w:pPr>
    </w:p>
    <w:p w:rsidR="006104D6" w:rsidRPr="001E1255" w:rsidRDefault="00FD3865" w:rsidP="0029577B">
      <w:pPr>
        <w:pStyle w:val="OmniPage11"/>
        <w:spacing w:line="360" w:lineRule="auto"/>
        <w:jc w:val="both"/>
        <w:rPr>
          <w:rFonts w:ascii="Bookman Old Style" w:hAnsi="Bookman Old Style"/>
          <w:sz w:val="24"/>
          <w:szCs w:val="24"/>
        </w:rPr>
      </w:pPr>
      <w:r w:rsidRPr="001E1255">
        <w:rPr>
          <w:rFonts w:ascii="Bookman Old Style" w:hAnsi="Bookman Old Style"/>
          <w:sz w:val="24"/>
          <w:szCs w:val="24"/>
        </w:rPr>
        <w:t>[</w:t>
      </w:r>
      <w:r w:rsidR="006104D6" w:rsidRPr="001E1255">
        <w:rPr>
          <w:rFonts w:ascii="Bookman Old Style" w:hAnsi="Bookman Old Style"/>
          <w:sz w:val="24"/>
          <w:szCs w:val="24"/>
        </w:rPr>
        <w:t xml:space="preserve">Number (1) does not apply if two events operated to cause the </w:t>
      </w:r>
      <w:r w:rsidR="00744EFB" w:rsidRPr="001E1255">
        <w:rPr>
          <w:rFonts w:ascii="Bookman Old Style" w:hAnsi="Bookman Old Style"/>
          <w:sz w:val="24"/>
          <w:szCs w:val="24"/>
        </w:rPr>
        <w:t>[damage][loss]</w:t>
      </w:r>
      <w:r w:rsidR="006104D6" w:rsidRPr="001E1255">
        <w:rPr>
          <w:rFonts w:ascii="Bookman Old Style" w:hAnsi="Bookman Old Style"/>
          <w:sz w:val="24"/>
          <w:szCs w:val="24"/>
        </w:rPr>
        <w:t xml:space="preserve">, one because of the defendant’s negligence and the other not, and each event by itself was sufficient to cause the </w:t>
      </w:r>
      <w:r w:rsidR="00744EFB" w:rsidRPr="001E1255">
        <w:rPr>
          <w:rFonts w:ascii="Bookman Old Style" w:hAnsi="Bookman Old Style"/>
          <w:sz w:val="24"/>
          <w:szCs w:val="24"/>
        </w:rPr>
        <w:t>[damage][loss]</w:t>
      </w:r>
      <w:r w:rsidR="006104D6" w:rsidRPr="001E1255">
        <w:rPr>
          <w:rFonts w:ascii="Bookman Old Style" w:hAnsi="Bookman Old Style"/>
          <w:sz w:val="24"/>
          <w:szCs w:val="24"/>
        </w:rPr>
        <w:t>.</w:t>
      </w:r>
      <w:r w:rsidRPr="001E1255">
        <w:rPr>
          <w:rFonts w:ascii="Bookman Old Style" w:hAnsi="Bookman Old Style"/>
          <w:sz w:val="24"/>
          <w:szCs w:val="24"/>
        </w:rPr>
        <w:t>]</w:t>
      </w:r>
      <w:r w:rsidR="006104D6" w:rsidRPr="001E1255">
        <w:rPr>
          <w:rFonts w:ascii="Bookman Old Style" w:hAnsi="Bookman Old Style"/>
          <w:sz w:val="24"/>
          <w:szCs w:val="24"/>
        </w:rPr>
        <w:t xml:space="preserve"> </w:t>
      </w:r>
    </w:p>
    <w:p w:rsidR="006C226F" w:rsidRPr="001E1255" w:rsidRDefault="006C226F" w:rsidP="003D30FA">
      <w:pPr>
        <w:jc w:val="both"/>
        <w:rPr>
          <w:rFonts w:ascii="Bookman Old Style" w:hAnsi="Bookman Old Style"/>
          <w:sz w:val="24"/>
          <w:szCs w:val="24"/>
        </w:rPr>
      </w:pPr>
    </w:p>
    <w:p w:rsidR="000603A0" w:rsidRPr="001E1255" w:rsidRDefault="00D9031B" w:rsidP="003D30FA">
      <w:pPr>
        <w:pStyle w:val="OmniPage9"/>
        <w:tabs>
          <w:tab w:val="right" w:pos="5581"/>
        </w:tabs>
        <w:spacing w:line="240" w:lineRule="auto"/>
        <w:jc w:val="center"/>
        <w:rPr>
          <w:rFonts w:ascii="Bookman Old Style" w:hAnsi="Bookman Old Style"/>
          <w:b/>
          <w:sz w:val="24"/>
          <w:szCs w:val="24"/>
        </w:rPr>
      </w:pPr>
      <w:r w:rsidRPr="001E1255">
        <w:rPr>
          <w:rFonts w:ascii="Bookman Old Style" w:hAnsi="Bookman Old Style"/>
          <w:b/>
          <w:sz w:val="24"/>
          <w:szCs w:val="24"/>
        </w:rPr>
        <w:t>Use</w:t>
      </w:r>
      <w:r w:rsidR="00171D01" w:rsidRPr="001E1255">
        <w:rPr>
          <w:rFonts w:ascii="Bookman Old Style" w:hAnsi="Bookman Old Style"/>
          <w:b/>
          <w:sz w:val="24"/>
          <w:szCs w:val="24"/>
        </w:rPr>
        <w:t xml:space="preserve"> Note</w:t>
      </w:r>
    </w:p>
    <w:p w:rsidR="000603A0" w:rsidRPr="001E1255" w:rsidRDefault="000603A0" w:rsidP="003D30FA">
      <w:pPr>
        <w:jc w:val="both"/>
        <w:rPr>
          <w:rFonts w:ascii="Bookman Old Style" w:hAnsi="Bookman Old Style"/>
          <w:b/>
          <w:sz w:val="24"/>
          <w:szCs w:val="24"/>
        </w:rPr>
      </w:pPr>
    </w:p>
    <w:p w:rsidR="00077A06" w:rsidRPr="001E1255" w:rsidRDefault="00077A06" w:rsidP="003D30FA">
      <w:pPr>
        <w:pStyle w:val="OmniPage18"/>
        <w:spacing w:line="240" w:lineRule="auto"/>
        <w:jc w:val="both"/>
        <w:rPr>
          <w:rFonts w:ascii="Bookman Old Style" w:hAnsi="Bookman Old Style"/>
          <w:sz w:val="24"/>
          <w:szCs w:val="24"/>
        </w:rPr>
      </w:pPr>
      <w:r w:rsidRPr="001E1255">
        <w:rPr>
          <w:rFonts w:ascii="Bookman Old Style" w:hAnsi="Bookman Old Style"/>
          <w:sz w:val="24"/>
          <w:szCs w:val="24"/>
        </w:rPr>
        <w:t xml:space="preserve">Instruction 21.3 should be given in a negligent bailment case when </w:t>
      </w:r>
      <w:r w:rsidR="00125EDD" w:rsidRPr="001E1255">
        <w:rPr>
          <w:rFonts w:ascii="Bookman Old Style" w:hAnsi="Bookman Old Style"/>
          <w:sz w:val="24"/>
          <w:szCs w:val="24"/>
        </w:rPr>
        <w:t xml:space="preserve">the </w:t>
      </w:r>
      <w:r w:rsidRPr="001E1255">
        <w:rPr>
          <w:rFonts w:ascii="Bookman Old Style" w:hAnsi="Bookman Old Style"/>
          <w:sz w:val="24"/>
          <w:szCs w:val="24"/>
        </w:rPr>
        <w:t xml:space="preserve">defendant’s response to </w:t>
      </w:r>
      <w:r w:rsidR="00125EDD" w:rsidRPr="001E1255">
        <w:rPr>
          <w:rFonts w:ascii="Bookman Old Style" w:hAnsi="Bookman Old Style"/>
          <w:sz w:val="24"/>
          <w:szCs w:val="24"/>
        </w:rPr>
        <w:t xml:space="preserve">the </w:t>
      </w:r>
      <w:r w:rsidRPr="001E1255">
        <w:rPr>
          <w:rFonts w:ascii="Bookman Old Style" w:hAnsi="Bookman Old Style"/>
          <w:sz w:val="24"/>
          <w:szCs w:val="24"/>
        </w:rPr>
        <w:t xml:space="preserve">plaintiff’s prima facie case includes a defense that the damage or loss to the bailed property was beyond </w:t>
      </w:r>
      <w:r w:rsidR="00125EDD" w:rsidRPr="001E1255">
        <w:rPr>
          <w:rFonts w:ascii="Bookman Old Style" w:hAnsi="Bookman Old Style"/>
          <w:sz w:val="24"/>
          <w:szCs w:val="24"/>
        </w:rPr>
        <w:t xml:space="preserve">the </w:t>
      </w:r>
      <w:r w:rsidRPr="001E1255">
        <w:rPr>
          <w:rFonts w:ascii="Bookman Old Style" w:hAnsi="Bookman Old Style"/>
          <w:sz w:val="24"/>
          <w:szCs w:val="24"/>
        </w:rPr>
        <w:t>defendant’s control and the defendant used due care to protect the bailed property.</w:t>
      </w:r>
    </w:p>
    <w:p w:rsidR="00077A06" w:rsidRPr="001E1255" w:rsidRDefault="00077A06" w:rsidP="003D30FA">
      <w:pPr>
        <w:pStyle w:val="OmniPage18"/>
        <w:spacing w:line="240" w:lineRule="auto"/>
        <w:jc w:val="both"/>
        <w:rPr>
          <w:rFonts w:ascii="Bookman Old Style" w:hAnsi="Bookman Old Style"/>
          <w:sz w:val="24"/>
          <w:szCs w:val="24"/>
        </w:rPr>
      </w:pPr>
    </w:p>
    <w:p w:rsidR="000603A0" w:rsidRPr="001E1255" w:rsidRDefault="000603A0" w:rsidP="003D30FA">
      <w:pPr>
        <w:pStyle w:val="OmniPage18"/>
        <w:spacing w:line="240" w:lineRule="auto"/>
        <w:jc w:val="both"/>
        <w:rPr>
          <w:rFonts w:ascii="Bookman Old Style" w:hAnsi="Bookman Old Style"/>
          <w:sz w:val="24"/>
          <w:szCs w:val="24"/>
        </w:rPr>
      </w:pPr>
      <w:r w:rsidRPr="001E1255">
        <w:rPr>
          <w:rFonts w:ascii="Bookman Old Style" w:hAnsi="Bookman Old Style"/>
          <w:sz w:val="24"/>
          <w:szCs w:val="24"/>
        </w:rPr>
        <w:t>This is the general causation instruction for negligen</w:t>
      </w:r>
      <w:r w:rsidR="001207A4" w:rsidRPr="001E1255">
        <w:rPr>
          <w:rFonts w:ascii="Bookman Old Style" w:hAnsi="Bookman Old Style"/>
          <w:sz w:val="24"/>
          <w:szCs w:val="24"/>
        </w:rPr>
        <w:t>t ba</w:t>
      </w:r>
      <w:r w:rsidR="00B13C89" w:rsidRPr="001E1255">
        <w:rPr>
          <w:rFonts w:ascii="Bookman Old Style" w:hAnsi="Bookman Old Style"/>
          <w:sz w:val="24"/>
          <w:szCs w:val="24"/>
        </w:rPr>
        <w:t>i</w:t>
      </w:r>
      <w:r w:rsidR="001207A4" w:rsidRPr="001E1255">
        <w:rPr>
          <w:rFonts w:ascii="Bookman Old Style" w:hAnsi="Bookman Old Style"/>
          <w:sz w:val="24"/>
          <w:szCs w:val="24"/>
        </w:rPr>
        <w:t xml:space="preserve">lment </w:t>
      </w:r>
      <w:r w:rsidRPr="001E1255">
        <w:rPr>
          <w:rFonts w:ascii="Bookman Old Style" w:hAnsi="Bookman Old Style"/>
          <w:sz w:val="24"/>
          <w:szCs w:val="24"/>
        </w:rPr>
        <w:t>cases.  It includes both fact and legal caus</w:t>
      </w:r>
      <w:r w:rsidR="00EB78B5" w:rsidRPr="001E1255">
        <w:rPr>
          <w:rFonts w:ascii="Bookman Old Style" w:hAnsi="Bookman Old Style"/>
          <w:sz w:val="24"/>
          <w:szCs w:val="24"/>
        </w:rPr>
        <w:t>e</w:t>
      </w:r>
      <w:r w:rsidRPr="001E1255">
        <w:rPr>
          <w:rFonts w:ascii="Bookman Old Style" w:hAnsi="Bookman Old Style"/>
          <w:sz w:val="24"/>
          <w:szCs w:val="24"/>
        </w:rPr>
        <w:t xml:space="preserve">.  The bracketed language should be given if two or more forces are claimed to have operated to bring about the injury, and each of them operating alone is sufficient to cause the injury.  </w:t>
      </w:r>
    </w:p>
    <w:p w:rsidR="000603A0" w:rsidRPr="001E1255" w:rsidRDefault="000603A0" w:rsidP="003D30FA">
      <w:pPr>
        <w:pStyle w:val="OmniPage18"/>
        <w:spacing w:line="240" w:lineRule="auto"/>
        <w:ind w:firstLine="777"/>
        <w:jc w:val="both"/>
        <w:rPr>
          <w:rFonts w:ascii="Bookman Old Style" w:hAnsi="Bookman Old Style"/>
          <w:sz w:val="24"/>
          <w:szCs w:val="24"/>
        </w:rPr>
      </w:pPr>
    </w:p>
    <w:p w:rsidR="000603A0" w:rsidRPr="001E1255" w:rsidRDefault="000603A0" w:rsidP="003D30FA">
      <w:pPr>
        <w:pStyle w:val="OmniPage18"/>
        <w:spacing w:line="240" w:lineRule="auto"/>
        <w:jc w:val="both"/>
        <w:rPr>
          <w:rFonts w:ascii="Bookman Old Style" w:hAnsi="Bookman Old Style"/>
          <w:sz w:val="24"/>
          <w:szCs w:val="24"/>
        </w:rPr>
      </w:pPr>
      <w:r w:rsidRPr="001E1255">
        <w:rPr>
          <w:rFonts w:ascii="Bookman Old Style" w:hAnsi="Bookman Old Style"/>
          <w:sz w:val="24"/>
          <w:szCs w:val="24"/>
        </w:rPr>
        <w:t>If there is evidence of multiple cause</w:t>
      </w:r>
      <w:r w:rsidR="00E66FA9" w:rsidRPr="001E1255">
        <w:rPr>
          <w:rFonts w:ascii="Bookman Old Style" w:hAnsi="Bookman Old Style"/>
          <w:sz w:val="24"/>
          <w:szCs w:val="24"/>
        </w:rPr>
        <w:t>s</w:t>
      </w:r>
      <w:r w:rsidRPr="001E1255">
        <w:rPr>
          <w:rFonts w:ascii="Bookman Old Style" w:hAnsi="Bookman Old Style"/>
          <w:sz w:val="24"/>
          <w:szCs w:val="24"/>
        </w:rPr>
        <w:t xml:space="preserve">, </w:t>
      </w:r>
      <w:r w:rsidR="0063035C" w:rsidRPr="001E1255">
        <w:rPr>
          <w:rFonts w:ascii="Bookman Old Style" w:hAnsi="Bookman Old Style"/>
          <w:sz w:val="24"/>
          <w:szCs w:val="24"/>
        </w:rPr>
        <w:t xml:space="preserve">Negligence </w:t>
      </w:r>
      <w:r w:rsidR="00E66FA9" w:rsidRPr="001E1255">
        <w:rPr>
          <w:rFonts w:ascii="Bookman Old Style" w:hAnsi="Bookman Old Style"/>
          <w:sz w:val="24"/>
          <w:szCs w:val="24"/>
        </w:rPr>
        <w:t>I</w:t>
      </w:r>
      <w:r w:rsidR="00D9031B" w:rsidRPr="001E1255">
        <w:rPr>
          <w:rFonts w:ascii="Bookman Old Style" w:hAnsi="Bookman Old Style"/>
          <w:sz w:val="24"/>
          <w:szCs w:val="24"/>
        </w:rPr>
        <w:t>nstruction 3.08 (Multiple Causes)</w:t>
      </w:r>
      <w:r w:rsidRPr="001E1255">
        <w:rPr>
          <w:rFonts w:ascii="Bookman Old Style" w:hAnsi="Bookman Old Style"/>
          <w:sz w:val="24"/>
          <w:szCs w:val="24"/>
        </w:rPr>
        <w:t xml:space="preserve"> should also be given.  If there is evidence of superseding cause, </w:t>
      </w:r>
      <w:r w:rsidR="0063035C" w:rsidRPr="001E1255">
        <w:rPr>
          <w:rFonts w:ascii="Bookman Old Style" w:hAnsi="Bookman Old Style"/>
          <w:sz w:val="24"/>
          <w:szCs w:val="24"/>
        </w:rPr>
        <w:t xml:space="preserve">Negligence </w:t>
      </w:r>
      <w:r w:rsidR="00E66FA9" w:rsidRPr="001E1255">
        <w:rPr>
          <w:rFonts w:ascii="Bookman Old Style" w:hAnsi="Bookman Old Style"/>
          <w:sz w:val="24"/>
          <w:szCs w:val="24"/>
        </w:rPr>
        <w:t>I</w:t>
      </w:r>
      <w:r w:rsidRPr="001E1255">
        <w:rPr>
          <w:rFonts w:ascii="Bookman Old Style" w:hAnsi="Bookman Old Style"/>
          <w:sz w:val="24"/>
          <w:szCs w:val="24"/>
        </w:rPr>
        <w:t>nstruction 3.0</w:t>
      </w:r>
      <w:r w:rsidR="00D9031B" w:rsidRPr="001E1255">
        <w:rPr>
          <w:rFonts w:ascii="Bookman Old Style" w:hAnsi="Bookman Old Style"/>
          <w:sz w:val="24"/>
          <w:szCs w:val="24"/>
        </w:rPr>
        <w:t>9 (Superseding Cause)</w:t>
      </w:r>
      <w:r w:rsidRPr="001E1255">
        <w:rPr>
          <w:rFonts w:ascii="Bookman Old Style" w:hAnsi="Bookman Old Style"/>
          <w:sz w:val="24"/>
          <w:szCs w:val="24"/>
        </w:rPr>
        <w:t xml:space="preserve"> should be given.  </w:t>
      </w:r>
      <w:r w:rsidR="0063035C" w:rsidRPr="001E1255">
        <w:rPr>
          <w:rFonts w:ascii="Bookman Old Style" w:hAnsi="Bookman Old Style"/>
          <w:sz w:val="24"/>
          <w:szCs w:val="24"/>
        </w:rPr>
        <w:t>These instructions may need to be modified to use terminology consistent with a negligent bailment case.</w:t>
      </w:r>
    </w:p>
    <w:p w:rsidR="000603A0" w:rsidRPr="001E1255" w:rsidRDefault="000603A0" w:rsidP="003D30FA">
      <w:pPr>
        <w:jc w:val="both"/>
        <w:rPr>
          <w:rFonts w:ascii="Bookman Old Style" w:hAnsi="Bookman Old Style"/>
          <w:sz w:val="24"/>
          <w:szCs w:val="24"/>
        </w:rPr>
      </w:pPr>
    </w:p>
    <w:p w:rsidR="000603A0" w:rsidRPr="001E1255" w:rsidRDefault="000603A0" w:rsidP="003D30FA">
      <w:pPr>
        <w:pStyle w:val="OmniPage9"/>
        <w:tabs>
          <w:tab w:val="right" w:pos="5590"/>
          <w:tab w:val="left" w:pos="8280"/>
        </w:tabs>
        <w:spacing w:line="240" w:lineRule="auto"/>
        <w:jc w:val="center"/>
        <w:rPr>
          <w:rFonts w:ascii="Bookman Old Style" w:hAnsi="Bookman Old Style"/>
          <w:b/>
          <w:sz w:val="24"/>
          <w:szCs w:val="24"/>
        </w:rPr>
      </w:pPr>
      <w:r w:rsidRPr="001E1255">
        <w:rPr>
          <w:rFonts w:ascii="Bookman Old Style" w:hAnsi="Bookman Old Style"/>
          <w:b/>
          <w:sz w:val="24"/>
          <w:szCs w:val="24"/>
        </w:rPr>
        <w:t>Comment</w:t>
      </w:r>
    </w:p>
    <w:p w:rsidR="000603A0" w:rsidRPr="001E1255" w:rsidRDefault="000603A0" w:rsidP="003D30FA">
      <w:pPr>
        <w:jc w:val="both"/>
        <w:rPr>
          <w:rFonts w:ascii="Bookman Old Style" w:hAnsi="Bookman Old Style"/>
          <w:sz w:val="24"/>
          <w:szCs w:val="24"/>
        </w:rPr>
      </w:pPr>
    </w:p>
    <w:p w:rsidR="00707E4C" w:rsidRPr="001E1255" w:rsidRDefault="00707E4C" w:rsidP="003D30FA">
      <w:pPr>
        <w:pStyle w:val="OmniPage1"/>
        <w:spacing w:line="240" w:lineRule="auto"/>
        <w:ind w:left="62" w:right="54" w:firstLine="3"/>
        <w:jc w:val="both"/>
        <w:rPr>
          <w:rFonts w:ascii="Bookman Old Style" w:hAnsi="Bookman Old Style"/>
          <w:sz w:val="24"/>
          <w:szCs w:val="24"/>
        </w:rPr>
      </w:pPr>
      <w:r w:rsidRPr="001E1255">
        <w:rPr>
          <w:rFonts w:ascii="Bookman Old Style" w:hAnsi="Bookman Old Style"/>
          <w:sz w:val="24"/>
          <w:szCs w:val="24"/>
        </w:rPr>
        <w:t>This instru</w:t>
      </w:r>
      <w:r w:rsidR="00207F23" w:rsidRPr="001E1255">
        <w:rPr>
          <w:rFonts w:ascii="Bookman Old Style" w:hAnsi="Bookman Old Style"/>
          <w:sz w:val="24"/>
          <w:szCs w:val="24"/>
        </w:rPr>
        <w:t xml:space="preserve">ction is based on </w:t>
      </w:r>
      <w:r w:rsidRPr="001E1255">
        <w:rPr>
          <w:rFonts w:ascii="Bookman Old Style" w:hAnsi="Bookman Old Style"/>
          <w:sz w:val="24"/>
          <w:szCs w:val="24"/>
        </w:rPr>
        <w:t xml:space="preserve">Negligence Instruction 3.07 </w:t>
      </w:r>
      <w:r w:rsidR="00207F23" w:rsidRPr="001E1255">
        <w:rPr>
          <w:rFonts w:ascii="Bookman Old Style" w:hAnsi="Bookman Old Style"/>
          <w:sz w:val="24"/>
          <w:szCs w:val="24"/>
        </w:rPr>
        <w:t>(</w:t>
      </w:r>
      <w:r w:rsidRPr="001E1255">
        <w:rPr>
          <w:rFonts w:ascii="Bookman Old Style" w:hAnsi="Bookman Old Style"/>
          <w:sz w:val="24"/>
          <w:szCs w:val="24"/>
        </w:rPr>
        <w:t>Substantial Factor</w:t>
      </w:r>
      <w:r w:rsidR="00207F23" w:rsidRPr="001E1255">
        <w:rPr>
          <w:rFonts w:ascii="Bookman Old Style" w:hAnsi="Bookman Old Style"/>
          <w:sz w:val="24"/>
          <w:szCs w:val="24"/>
        </w:rPr>
        <w:t>)</w:t>
      </w:r>
      <w:r w:rsidRPr="001E1255">
        <w:rPr>
          <w:rFonts w:ascii="Bookman Old Style" w:hAnsi="Bookman Old Style"/>
          <w:sz w:val="24"/>
          <w:szCs w:val="24"/>
        </w:rPr>
        <w:t xml:space="preserve"> and Alaska case law.</w:t>
      </w:r>
    </w:p>
    <w:p w:rsidR="00707E4C" w:rsidRPr="001E1255" w:rsidRDefault="00707E4C" w:rsidP="003D30FA">
      <w:pPr>
        <w:jc w:val="both"/>
        <w:rPr>
          <w:rFonts w:ascii="Bookman Old Style" w:hAnsi="Bookman Old Style"/>
          <w:sz w:val="24"/>
          <w:szCs w:val="24"/>
        </w:rPr>
      </w:pPr>
    </w:p>
    <w:p w:rsidR="00B35062" w:rsidRPr="001E1255" w:rsidRDefault="00B35062" w:rsidP="003D30FA">
      <w:pPr>
        <w:pStyle w:val="OmniPage1"/>
        <w:spacing w:line="240" w:lineRule="auto"/>
        <w:ind w:left="62" w:right="54" w:firstLine="3"/>
        <w:jc w:val="both"/>
        <w:rPr>
          <w:rFonts w:ascii="Bookman Old Style" w:hAnsi="Bookman Old Style"/>
          <w:sz w:val="24"/>
          <w:szCs w:val="24"/>
        </w:rPr>
      </w:pPr>
      <w:r w:rsidRPr="001E1255">
        <w:rPr>
          <w:rFonts w:ascii="Bookman Old Style" w:hAnsi="Bookman Old Style"/>
          <w:sz w:val="24"/>
          <w:szCs w:val="24"/>
        </w:rPr>
        <w:lastRenderedPageBreak/>
        <w:t xml:space="preserve">If the defendant in a negligent bailment case puts </w:t>
      </w:r>
      <w:r w:rsidR="00D41BDC" w:rsidRPr="001E1255">
        <w:rPr>
          <w:rFonts w:ascii="Bookman Old Style" w:hAnsi="Bookman Old Style"/>
          <w:sz w:val="24"/>
          <w:szCs w:val="24"/>
        </w:rPr>
        <w:t xml:space="preserve">on </w:t>
      </w:r>
      <w:r w:rsidRPr="001E1255">
        <w:rPr>
          <w:rFonts w:ascii="Bookman Old Style" w:hAnsi="Bookman Old Style"/>
          <w:sz w:val="24"/>
          <w:szCs w:val="24"/>
        </w:rPr>
        <w:t xml:space="preserve">evidence that the damage to or loss of the bailed property was beyond his or her control and evidence allowing an inference of reasonable care, the plaintiff must meet the elements of a negligence case.  </w:t>
      </w:r>
      <w:r w:rsidR="001D4FB0" w:rsidRPr="001E1255">
        <w:rPr>
          <w:rFonts w:ascii="Bookman Old Style" w:hAnsi="Bookman Old Style"/>
          <w:i/>
          <w:sz w:val="24"/>
          <w:szCs w:val="24"/>
        </w:rPr>
        <w:t>See, e</w:t>
      </w:r>
      <w:r w:rsidR="00E73A26" w:rsidRPr="001E1255">
        <w:rPr>
          <w:rFonts w:ascii="Bookman Old Style" w:hAnsi="Bookman Old Style"/>
          <w:i/>
          <w:sz w:val="24"/>
          <w:szCs w:val="24"/>
        </w:rPr>
        <w:t>.g</w:t>
      </w:r>
      <w:r w:rsidR="00E73A26" w:rsidRPr="001E1255">
        <w:rPr>
          <w:rFonts w:ascii="Bookman Old Style" w:hAnsi="Bookman Old Style"/>
          <w:sz w:val="24"/>
          <w:szCs w:val="24"/>
        </w:rPr>
        <w:t xml:space="preserve">., </w:t>
      </w:r>
      <w:r w:rsidR="00E73A26" w:rsidRPr="001E1255">
        <w:rPr>
          <w:rFonts w:ascii="Bookman Old Style" w:hAnsi="Bookman Old Style"/>
          <w:i/>
          <w:sz w:val="24"/>
          <w:szCs w:val="24"/>
        </w:rPr>
        <w:t>Coster v. Piekarski</w:t>
      </w:r>
      <w:r w:rsidR="00E73A26" w:rsidRPr="001E1255">
        <w:rPr>
          <w:rFonts w:ascii="Bookman Old Style" w:hAnsi="Bookman Old Style"/>
          <w:sz w:val="24"/>
          <w:szCs w:val="24"/>
        </w:rPr>
        <w:t xml:space="preserve">, 3 P.3d 333, 334 (Alaska 2000); </w:t>
      </w:r>
      <w:r w:rsidR="00E73A26" w:rsidRPr="001E1255">
        <w:rPr>
          <w:rFonts w:ascii="Bookman Old Style" w:hAnsi="Bookman Old Style"/>
          <w:i/>
          <w:sz w:val="24"/>
          <w:szCs w:val="24"/>
        </w:rPr>
        <w:t>Silvers v. Silvers</w:t>
      </w:r>
      <w:r w:rsidR="00E73A26" w:rsidRPr="001E1255">
        <w:rPr>
          <w:rFonts w:ascii="Bookman Old Style" w:hAnsi="Bookman Old Style"/>
          <w:sz w:val="24"/>
          <w:szCs w:val="24"/>
        </w:rPr>
        <w:t>, 999 P.2d 786</w:t>
      </w:r>
      <w:r w:rsidR="005C3CCC" w:rsidRPr="001E1255">
        <w:rPr>
          <w:rFonts w:ascii="Bookman Old Style" w:hAnsi="Bookman Old Style"/>
          <w:sz w:val="24"/>
          <w:szCs w:val="24"/>
        </w:rPr>
        <w:t>,</w:t>
      </w:r>
      <w:r w:rsidR="00E73A26" w:rsidRPr="001E1255">
        <w:rPr>
          <w:rFonts w:ascii="Bookman Old Style" w:hAnsi="Bookman Old Style"/>
          <w:sz w:val="24"/>
          <w:szCs w:val="24"/>
        </w:rPr>
        <w:t xml:space="preserve"> 79</w:t>
      </w:r>
      <w:r w:rsidR="005C3CCC" w:rsidRPr="001E1255">
        <w:rPr>
          <w:rFonts w:ascii="Bookman Old Style" w:hAnsi="Bookman Old Style"/>
          <w:sz w:val="24"/>
          <w:szCs w:val="24"/>
        </w:rPr>
        <w:t>3</w:t>
      </w:r>
      <w:r w:rsidR="00E73A26" w:rsidRPr="001E1255">
        <w:rPr>
          <w:rFonts w:ascii="Bookman Old Style" w:hAnsi="Bookman Old Style"/>
          <w:sz w:val="24"/>
          <w:szCs w:val="24"/>
        </w:rPr>
        <w:t xml:space="preserve"> (Alaska 2000).  </w:t>
      </w:r>
      <w:r w:rsidR="00707E4C" w:rsidRPr="001E1255">
        <w:rPr>
          <w:rFonts w:ascii="Bookman Old Style" w:hAnsi="Bookman Old Style"/>
          <w:sz w:val="24"/>
          <w:szCs w:val="24"/>
        </w:rPr>
        <w:t xml:space="preserve">Instruction </w:t>
      </w:r>
      <w:r w:rsidR="002234BF" w:rsidRPr="001E1255">
        <w:rPr>
          <w:rFonts w:ascii="Bookman Old Style" w:hAnsi="Bookman Old Style"/>
          <w:sz w:val="24"/>
          <w:szCs w:val="24"/>
        </w:rPr>
        <w:t>21.</w:t>
      </w:r>
      <w:r w:rsidR="00207F23" w:rsidRPr="001E1255">
        <w:rPr>
          <w:rFonts w:ascii="Bookman Old Style" w:hAnsi="Bookman Old Style"/>
          <w:sz w:val="24"/>
          <w:szCs w:val="24"/>
        </w:rPr>
        <w:t>0</w:t>
      </w:r>
      <w:r w:rsidR="002234BF" w:rsidRPr="001E1255">
        <w:rPr>
          <w:rFonts w:ascii="Bookman Old Style" w:hAnsi="Bookman Old Style"/>
          <w:sz w:val="24"/>
          <w:szCs w:val="24"/>
        </w:rPr>
        <w:t xml:space="preserve">3 would be given in that case.  </w:t>
      </w:r>
      <w:r w:rsidRPr="001E1255">
        <w:rPr>
          <w:rFonts w:ascii="Bookman Old Style" w:hAnsi="Bookman Old Style"/>
          <w:sz w:val="24"/>
          <w:szCs w:val="24"/>
        </w:rPr>
        <w:t xml:space="preserve">If the defendant does not make </w:t>
      </w:r>
      <w:r w:rsidR="00E73A26" w:rsidRPr="001E1255">
        <w:rPr>
          <w:rFonts w:ascii="Bookman Old Style" w:hAnsi="Bookman Old Style"/>
          <w:sz w:val="24"/>
          <w:szCs w:val="24"/>
        </w:rPr>
        <w:t xml:space="preserve">such a </w:t>
      </w:r>
      <w:r w:rsidRPr="001E1255">
        <w:rPr>
          <w:rFonts w:ascii="Bookman Old Style" w:hAnsi="Bookman Old Style"/>
          <w:sz w:val="24"/>
          <w:szCs w:val="24"/>
        </w:rPr>
        <w:t xml:space="preserve">showing, the plaintiff can rely on </w:t>
      </w:r>
      <w:r w:rsidR="001207A4" w:rsidRPr="001E1255">
        <w:rPr>
          <w:rFonts w:ascii="Bookman Old Style" w:hAnsi="Bookman Old Style"/>
          <w:sz w:val="24"/>
          <w:szCs w:val="24"/>
        </w:rPr>
        <w:t xml:space="preserve">its </w:t>
      </w:r>
      <w:r w:rsidRPr="001E1255">
        <w:rPr>
          <w:rFonts w:ascii="Bookman Old Style" w:hAnsi="Bookman Old Style"/>
          <w:sz w:val="24"/>
          <w:szCs w:val="24"/>
        </w:rPr>
        <w:t>prima facie case of negligent bailment</w:t>
      </w:r>
      <w:r w:rsidR="00D41BDC" w:rsidRPr="001E1255">
        <w:rPr>
          <w:rFonts w:ascii="Bookman Old Style" w:hAnsi="Bookman Old Style"/>
          <w:sz w:val="24"/>
          <w:szCs w:val="24"/>
        </w:rPr>
        <w:t>,</w:t>
      </w:r>
      <w:r w:rsidRPr="001E1255">
        <w:rPr>
          <w:rFonts w:ascii="Bookman Old Style" w:hAnsi="Bookman Old Style"/>
          <w:sz w:val="24"/>
          <w:szCs w:val="24"/>
        </w:rPr>
        <w:t xml:space="preserve"> which requires only that the plaintiff show there was a bailment and that the bailed property was damaged or lost.  </w:t>
      </w:r>
      <w:r w:rsidR="0014715F" w:rsidRPr="001E1255">
        <w:rPr>
          <w:rFonts w:ascii="Bookman Old Style" w:hAnsi="Bookman Old Style"/>
          <w:i/>
          <w:sz w:val="24"/>
          <w:szCs w:val="24"/>
        </w:rPr>
        <w:t>See, e</w:t>
      </w:r>
      <w:r w:rsidR="00E73A26" w:rsidRPr="001E1255">
        <w:rPr>
          <w:rFonts w:ascii="Bookman Old Style" w:hAnsi="Bookman Old Style"/>
          <w:i/>
          <w:sz w:val="24"/>
          <w:szCs w:val="24"/>
        </w:rPr>
        <w:t>.g</w:t>
      </w:r>
      <w:r w:rsidR="00E73A26" w:rsidRPr="001E1255">
        <w:rPr>
          <w:rFonts w:ascii="Bookman Old Style" w:hAnsi="Bookman Old Style"/>
          <w:sz w:val="24"/>
          <w:szCs w:val="24"/>
        </w:rPr>
        <w:t xml:space="preserve">., </w:t>
      </w:r>
      <w:r w:rsidR="00E73A26" w:rsidRPr="001E1255">
        <w:rPr>
          <w:rFonts w:ascii="Bookman Old Style" w:hAnsi="Bookman Old Style"/>
          <w:i/>
          <w:sz w:val="24"/>
          <w:szCs w:val="24"/>
        </w:rPr>
        <w:t xml:space="preserve">Coster, </w:t>
      </w:r>
      <w:r w:rsidR="00E73A26" w:rsidRPr="001E1255">
        <w:rPr>
          <w:rFonts w:ascii="Bookman Old Style" w:hAnsi="Bookman Old Style"/>
          <w:sz w:val="24"/>
          <w:szCs w:val="24"/>
        </w:rPr>
        <w:t>3 P.3d at 334</w:t>
      </w:r>
      <w:r w:rsidR="009D0455" w:rsidRPr="001E1255">
        <w:rPr>
          <w:rFonts w:ascii="Bookman Old Style" w:hAnsi="Bookman Old Style"/>
          <w:sz w:val="24"/>
          <w:szCs w:val="24"/>
        </w:rPr>
        <w:t xml:space="preserve">; </w:t>
      </w:r>
      <w:r w:rsidR="009D0455" w:rsidRPr="001E1255">
        <w:rPr>
          <w:rFonts w:ascii="Bookman Old Style" w:hAnsi="Bookman Old Style"/>
          <w:i/>
          <w:sz w:val="24"/>
          <w:szCs w:val="24"/>
        </w:rPr>
        <w:t>State v. Stanley</w:t>
      </w:r>
      <w:r w:rsidR="009D0455" w:rsidRPr="001E1255">
        <w:rPr>
          <w:rFonts w:ascii="Bookman Old Style" w:hAnsi="Bookman Old Style"/>
          <w:sz w:val="24"/>
          <w:szCs w:val="24"/>
        </w:rPr>
        <w:t>, 506 P.2d 1284, 128</w:t>
      </w:r>
      <w:r w:rsidR="0014715F" w:rsidRPr="001E1255">
        <w:rPr>
          <w:rFonts w:ascii="Bookman Old Style" w:hAnsi="Bookman Old Style"/>
          <w:sz w:val="24"/>
          <w:szCs w:val="24"/>
        </w:rPr>
        <w:t>8</w:t>
      </w:r>
      <w:r w:rsidR="0029577B" w:rsidRPr="001E1255">
        <w:rPr>
          <w:rFonts w:ascii="Bookman Old Style" w:hAnsi="Bookman Old Style"/>
          <w:sz w:val="24"/>
          <w:szCs w:val="24"/>
        </w:rPr>
        <w:t>-</w:t>
      </w:r>
      <w:r w:rsidR="009D0455" w:rsidRPr="001E1255">
        <w:rPr>
          <w:rFonts w:ascii="Bookman Old Style" w:hAnsi="Bookman Old Style"/>
          <w:sz w:val="24"/>
          <w:szCs w:val="24"/>
        </w:rPr>
        <w:t>89 (Alaska 1973)</w:t>
      </w:r>
      <w:r w:rsidR="00E73A26" w:rsidRPr="001E1255">
        <w:rPr>
          <w:rFonts w:ascii="Bookman Old Style" w:hAnsi="Bookman Old Style"/>
          <w:sz w:val="24"/>
          <w:szCs w:val="24"/>
        </w:rPr>
        <w:t xml:space="preserve">. </w:t>
      </w:r>
      <w:r w:rsidR="002234BF" w:rsidRPr="001E1255">
        <w:rPr>
          <w:rFonts w:ascii="Bookman Old Style" w:hAnsi="Bookman Old Style"/>
          <w:sz w:val="24"/>
          <w:szCs w:val="24"/>
        </w:rPr>
        <w:t>I</w:t>
      </w:r>
      <w:r w:rsidR="00707E4C" w:rsidRPr="001E1255">
        <w:rPr>
          <w:rFonts w:ascii="Bookman Old Style" w:hAnsi="Bookman Old Style"/>
          <w:sz w:val="24"/>
          <w:szCs w:val="24"/>
        </w:rPr>
        <w:t>n the latter case</w:t>
      </w:r>
      <w:r w:rsidR="0029577B" w:rsidRPr="001E1255">
        <w:rPr>
          <w:rFonts w:ascii="Bookman Old Style" w:hAnsi="Bookman Old Style"/>
          <w:sz w:val="24"/>
          <w:szCs w:val="24"/>
        </w:rPr>
        <w:t>, I</w:t>
      </w:r>
      <w:r w:rsidR="002234BF" w:rsidRPr="001E1255">
        <w:rPr>
          <w:rFonts w:ascii="Bookman Old Style" w:hAnsi="Bookman Old Style"/>
          <w:sz w:val="24"/>
          <w:szCs w:val="24"/>
        </w:rPr>
        <w:t>nstruction 21.</w:t>
      </w:r>
      <w:r w:rsidR="0029577B" w:rsidRPr="001E1255">
        <w:rPr>
          <w:rFonts w:ascii="Bookman Old Style" w:hAnsi="Bookman Old Style"/>
          <w:sz w:val="24"/>
          <w:szCs w:val="24"/>
        </w:rPr>
        <w:t>0</w:t>
      </w:r>
      <w:r w:rsidR="002234BF" w:rsidRPr="001E1255">
        <w:rPr>
          <w:rFonts w:ascii="Bookman Old Style" w:hAnsi="Bookman Old Style"/>
          <w:sz w:val="24"/>
          <w:szCs w:val="24"/>
        </w:rPr>
        <w:t xml:space="preserve">3 would not be given.  </w:t>
      </w:r>
      <w:r w:rsidR="00707E4C" w:rsidRPr="001E1255">
        <w:rPr>
          <w:rFonts w:ascii="Bookman Old Style" w:hAnsi="Bookman Old Style"/>
          <w:sz w:val="24"/>
          <w:szCs w:val="24"/>
        </w:rPr>
        <w:t xml:space="preserve"> </w:t>
      </w:r>
    </w:p>
    <w:p w:rsidR="00B35062" w:rsidRPr="001E1255" w:rsidRDefault="00B35062" w:rsidP="003D30FA">
      <w:pPr>
        <w:jc w:val="both"/>
        <w:rPr>
          <w:rFonts w:ascii="Bookman Old Style" w:hAnsi="Bookman Old Style"/>
          <w:sz w:val="24"/>
          <w:szCs w:val="24"/>
        </w:rPr>
      </w:pPr>
    </w:p>
    <w:p w:rsidR="000603A0" w:rsidRPr="001E1255" w:rsidRDefault="000603A0" w:rsidP="003D30FA">
      <w:pPr>
        <w:jc w:val="both"/>
        <w:rPr>
          <w:rFonts w:ascii="Bookman Old Style" w:hAnsi="Bookman Old Style"/>
          <w:sz w:val="24"/>
          <w:szCs w:val="24"/>
        </w:rPr>
      </w:pPr>
      <w:bookmarkStart w:id="1" w:name="Document0zzSDUNumber1"/>
      <w:bookmarkStart w:id="2" w:name="Document1zzSDUNumber11"/>
      <w:bookmarkEnd w:id="1"/>
      <w:bookmarkEnd w:id="2"/>
    </w:p>
    <w:sectPr w:rsidR="000603A0" w:rsidRPr="001E1255" w:rsidSect="00D9031B">
      <w:footerReference w:type="default" r:id="rId8"/>
      <w:footerReference w:type="firs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62B" w:rsidRDefault="0073162B">
      <w:r>
        <w:separator/>
      </w:r>
    </w:p>
  </w:endnote>
  <w:endnote w:type="continuationSeparator" w:id="0">
    <w:p w:rsidR="0073162B" w:rsidRDefault="0073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03" w:rsidRPr="001E1255" w:rsidRDefault="00D33B2D" w:rsidP="000C3BB1">
    <w:pPr>
      <w:pStyle w:val="Footer"/>
      <w:tabs>
        <w:tab w:val="clear" w:pos="8640"/>
        <w:tab w:val="right" w:pos="9360"/>
      </w:tabs>
      <w:jc w:val="center"/>
      <w:rPr>
        <w:rFonts w:ascii="Bookman Old Style" w:hAnsi="Bookman Old Style"/>
        <w:sz w:val="22"/>
        <w:szCs w:val="22"/>
      </w:rPr>
    </w:pPr>
    <w:r w:rsidRPr="001E1255">
      <w:rPr>
        <w:rFonts w:ascii="Bookman Old Style" w:hAnsi="Bookman Old Style"/>
        <w:sz w:val="22"/>
        <w:szCs w:val="22"/>
      </w:rPr>
      <w:t>2</w:t>
    </w:r>
    <w:r w:rsidR="00171D01" w:rsidRPr="001E1255">
      <w:rPr>
        <w:rFonts w:ascii="Bookman Old Style" w:hAnsi="Bookman Old Style"/>
        <w:sz w:val="22"/>
        <w:szCs w:val="22"/>
      </w:rPr>
      <w:t>015</w:t>
    </w:r>
    <w:r w:rsidR="00EB3803" w:rsidRPr="001E1255">
      <w:rPr>
        <w:rFonts w:ascii="Bookman Old Style" w:hAnsi="Bookman Old Style"/>
        <w:sz w:val="22"/>
        <w:szCs w:val="22"/>
      </w:rPr>
      <w:tab/>
    </w:r>
    <w:r w:rsidR="00EB3803" w:rsidRPr="001E1255">
      <w:rPr>
        <w:rFonts w:ascii="Bookman Old Style" w:hAnsi="Bookman Old Style"/>
        <w:sz w:val="22"/>
        <w:szCs w:val="22"/>
      </w:rPr>
      <w:tab/>
    </w:r>
    <w:r w:rsidR="004A69FB" w:rsidRPr="001E1255">
      <w:rPr>
        <w:rFonts w:ascii="Bookman Old Style" w:hAnsi="Bookman Old Style"/>
        <w:sz w:val="22"/>
        <w:szCs w:val="22"/>
      </w:rPr>
      <w:t>21.</w:t>
    </w:r>
    <w:r w:rsidR="0029577B" w:rsidRPr="001E1255">
      <w:rPr>
        <w:rFonts w:ascii="Bookman Old Style" w:hAnsi="Bookman Old Style"/>
        <w:sz w:val="22"/>
        <w:szCs w:val="22"/>
      </w:rPr>
      <w:t>0</w:t>
    </w:r>
    <w:r w:rsidR="004A69FB" w:rsidRPr="001E1255">
      <w:rPr>
        <w:rFonts w:ascii="Bookman Old Style" w:hAnsi="Bookman Old Style"/>
        <w:sz w:val="22"/>
        <w:szCs w:val="22"/>
      </w:rPr>
      <w:t>3</w:t>
    </w:r>
    <w:r w:rsidR="001E1255">
      <w:rPr>
        <w:rFonts w:ascii="Bookman Old Style" w:hAnsi="Bookman Old Style"/>
        <w:sz w:val="22"/>
        <w:szCs w:val="22"/>
      </w:rPr>
      <w:t xml:space="preserve"> - </w:t>
    </w:r>
    <w:r w:rsidR="001E1255" w:rsidRPr="001E1255">
      <w:rPr>
        <w:rFonts w:ascii="Bookman Old Style" w:hAnsi="Bookman Old Style"/>
        <w:sz w:val="22"/>
        <w:szCs w:val="22"/>
      </w:rPr>
      <w:t xml:space="preserve">Page </w:t>
    </w:r>
    <w:r w:rsidR="001E1255" w:rsidRPr="001E1255">
      <w:rPr>
        <w:rFonts w:ascii="Bookman Old Style" w:hAnsi="Bookman Old Style"/>
        <w:sz w:val="22"/>
        <w:szCs w:val="22"/>
      </w:rPr>
      <w:fldChar w:fldCharType="begin"/>
    </w:r>
    <w:r w:rsidR="001E1255" w:rsidRPr="001E1255">
      <w:rPr>
        <w:rFonts w:ascii="Bookman Old Style" w:hAnsi="Bookman Old Style"/>
        <w:sz w:val="22"/>
        <w:szCs w:val="22"/>
      </w:rPr>
      <w:instrText xml:space="preserve"> PAGE  \* Arabic  \* MERGEFORMAT </w:instrText>
    </w:r>
    <w:r w:rsidR="001E1255" w:rsidRPr="001E1255">
      <w:rPr>
        <w:rFonts w:ascii="Bookman Old Style" w:hAnsi="Bookman Old Style"/>
        <w:sz w:val="22"/>
        <w:szCs w:val="22"/>
      </w:rPr>
      <w:fldChar w:fldCharType="separate"/>
    </w:r>
    <w:r w:rsidR="00661318">
      <w:rPr>
        <w:rFonts w:ascii="Bookman Old Style" w:hAnsi="Bookman Old Style"/>
        <w:noProof/>
        <w:sz w:val="22"/>
        <w:szCs w:val="22"/>
      </w:rPr>
      <w:t>1</w:t>
    </w:r>
    <w:r w:rsidR="001E1255" w:rsidRPr="001E1255">
      <w:rPr>
        <w:rFonts w:ascii="Bookman Old Style" w:hAnsi="Bookman Old Style"/>
        <w:sz w:val="22"/>
        <w:szCs w:val="22"/>
      </w:rPr>
      <w:fldChar w:fldCharType="end"/>
    </w:r>
    <w:r w:rsidR="001E1255" w:rsidRPr="001E1255">
      <w:rPr>
        <w:rFonts w:ascii="Bookman Old Style" w:hAnsi="Bookman Old Style"/>
        <w:sz w:val="22"/>
        <w:szCs w:val="22"/>
      </w:rPr>
      <w:t xml:space="preserve"> of </w:t>
    </w:r>
    <w:r w:rsidR="001E1255" w:rsidRPr="001E1255">
      <w:rPr>
        <w:rFonts w:ascii="Bookman Old Style" w:hAnsi="Bookman Old Style"/>
        <w:sz w:val="22"/>
        <w:szCs w:val="22"/>
      </w:rPr>
      <w:fldChar w:fldCharType="begin"/>
    </w:r>
    <w:r w:rsidR="001E1255" w:rsidRPr="001E1255">
      <w:rPr>
        <w:rFonts w:ascii="Bookman Old Style" w:hAnsi="Bookman Old Style"/>
        <w:sz w:val="22"/>
        <w:szCs w:val="22"/>
      </w:rPr>
      <w:instrText xml:space="preserve"> NUMPAGES  \* Arabic  \* MERGEFORMAT </w:instrText>
    </w:r>
    <w:r w:rsidR="001E1255" w:rsidRPr="001E1255">
      <w:rPr>
        <w:rFonts w:ascii="Bookman Old Style" w:hAnsi="Bookman Old Style"/>
        <w:sz w:val="22"/>
        <w:szCs w:val="22"/>
      </w:rPr>
      <w:fldChar w:fldCharType="separate"/>
    </w:r>
    <w:r w:rsidR="00661318">
      <w:rPr>
        <w:rFonts w:ascii="Bookman Old Style" w:hAnsi="Bookman Old Style"/>
        <w:noProof/>
        <w:sz w:val="22"/>
        <w:szCs w:val="22"/>
      </w:rPr>
      <w:t>2</w:t>
    </w:r>
    <w:r w:rsidR="001E1255" w:rsidRPr="001E1255">
      <w:rPr>
        <w:rFonts w:ascii="Bookman Old Style" w:hAnsi="Bookman Old Styl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03" w:rsidRDefault="00EB3803">
    <w:pPr>
      <w:pStyle w:val="Footer"/>
      <w:rPr>
        <w:rFonts w:ascii="Bookman Old Style" w:hAnsi="Bookman Old Style"/>
        <w:sz w:val="22"/>
      </w:rPr>
    </w:pPr>
    <w:r>
      <w:rPr>
        <w:rFonts w:ascii="Bookman Old Style" w:hAnsi="Bookman Old Style"/>
        <w:sz w:val="22"/>
      </w:rPr>
      <w:t>REVISED 1988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62B" w:rsidRDefault="0073162B">
      <w:r>
        <w:separator/>
      </w:r>
    </w:p>
  </w:footnote>
  <w:footnote w:type="continuationSeparator" w:id="0">
    <w:p w:rsidR="0073162B" w:rsidRDefault="00731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5846"/>
    <w:multiLevelType w:val="hybridMultilevel"/>
    <w:tmpl w:val="D7F8D55E"/>
    <w:lvl w:ilvl="0" w:tplc="83AAAF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B8"/>
    <w:rsid w:val="00014317"/>
    <w:rsid w:val="00037F06"/>
    <w:rsid w:val="0005302E"/>
    <w:rsid w:val="0005372B"/>
    <w:rsid w:val="000603A0"/>
    <w:rsid w:val="00077A06"/>
    <w:rsid w:val="000924C8"/>
    <w:rsid w:val="000B5135"/>
    <w:rsid w:val="000B660E"/>
    <w:rsid w:val="000C3BB1"/>
    <w:rsid w:val="000E2AB5"/>
    <w:rsid w:val="000F5DE2"/>
    <w:rsid w:val="00102C55"/>
    <w:rsid w:val="001207A4"/>
    <w:rsid w:val="00125EDD"/>
    <w:rsid w:val="00126022"/>
    <w:rsid w:val="001278EC"/>
    <w:rsid w:val="0014715F"/>
    <w:rsid w:val="00153E9C"/>
    <w:rsid w:val="00171D01"/>
    <w:rsid w:val="00175E10"/>
    <w:rsid w:val="00176F25"/>
    <w:rsid w:val="00185A1E"/>
    <w:rsid w:val="001972D4"/>
    <w:rsid w:val="001C715F"/>
    <w:rsid w:val="001D4FB0"/>
    <w:rsid w:val="001E1255"/>
    <w:rsid w:val="001F11CD"/>
    <w:rsid w:val="00207F23"/>
    <w:rsid w:val="00211A33"/>
    <w:rsid w:val="00214C19"/>
    <w:rsid w:val="00215B70"/>
    <w:rsid w:val="0022080C"/>
    <w:rsid w:val="002234BF"/>
    <w:rsid w:val="00251E21"/>
    <w:rsid w:val="0025308C"/>
    <w:rsid w:val="00264C91"/>
    <w:rsid w:val="00266DA5"/>
    <w:rsid w:val="0029577B"/>
    <w:rsid w:val="002A7FFB"/>
    <w:rsid w:val="002D656F"/>
    <w:rsid w:val="002F1D60"/>
    <w:rsid w:val="002F5080"/>
    <w:rsid w:val="003269B4"/>
    <w:rsid w:val="003540D7"/>
    <w:rsid w:val="00377BB3"/>
    <w:rsid w:val="003831E6"/>
    <w:rsid w:val="00384E91"/>
    <w:rsid w:val="00397C2A"/>
    <w:rsid w:val="003D30FA"/>
    <w:rsid w:val="003D5A70"/>
    <w:rsid w:val="003D75D8"/>
    <w:rsid w:val="004022D5"/>
    <w:rsid w:val="00437587"/>
    <w:rsid w:val="004441AC"/>
    <w:rsid w:val="00457F34"/>
    <w:rsid w:val="00462404"/>
    <w:rsid w:val="0047095E"/>
    <w:rsid w:val="0047195C"/>
    <w:rsid w:val="00483A87"/>
    <w:rsid w:val="00495A34"/>
    <w:rsid w:val="004A69FB"/>
    <w:rsid w:val="004C3860"/>
    <w:rsid w:val="004C40BA"/>
    <w:rsid w:val="004E101F"/>
    <w:rsid w:val="005259F6"/>
    <w:rsid w:val="00540E6B"/>
    <w:rsid w:val="00552C3E"/>
    <w:rsid w:val="005939C7"/>
    <w:rsid w:val="005C1472"/>
    <w:rsid w:val="005C18DE"/>
    <w:rsid w:val="005C3CCC"/>
    <w:rsid w:val="005C4554"/>
    <w:rsid w:val="005D1AF7"/>
    <w:rsid w:val="005E0D86"/>
    <w:rsid w:val="005F1426"/>
    <w:rsid w:val="006104D6"/>
    <w:rsid w:val="0063035C"/>
    <w:rsid w:val="006312A7"/>
    <w:rsid w:val="00661318"/>
    <w:rsid w:val="006976E0"/>
    <w:rsid w:val="006A5F7D"/>
    <w:rsid w:val="006B5B90"/>
    <w:rsid w:val="006C1D39"/>
    <w:rsid w:val="006C226F"/>
    <w:rsid w:val="006C5B0E"/>
    <w:rsid w:val="006D6CDA"/>
    <w:rsid w:val="006E1CCD"/>
    <w:rsid w:val="006E2E59"/>
    <w:rsid w:val="006E44BE"/>
    <w:rsid w:val="007050D7"/>
    <w:rsid w:val="00707E4C"/>
    <w:rsid w:val="00711096"/>
    <w:rsid w:val="0073162B"/>
    <w:rsid w:val="0073413A"/>
    <w:rsid w:val="00744EFB"/>
    <w:rsid w:val="00752C06"/>
    <w:rsid w:val="00804BD1"/>
    <w:rsid w:val="00807161"/>
    <w:rsid w:val="008425B8"/>
    <w:rsid w:val="008665F3"/>
    <w:rsid w:val="00870792"/>
    <w:rsid w:val="00882F36"/>
    <w:rsid w:val="008B4325"/>
    <w:rsid w:val="008D162D"/>
    <w:rsid w:val="008E0237"/>
    <w:rsid w:val="008E12F1"/>
    <w:rsid w:val="008F5D15"/>
    <w:rsid w:val="009039D5"/>
    <w:rsid w:val="00930D27"/>
    <w:rsid w:val="00956612"/>
    <w:rsid w:val="0097244B"/>
    <w:rsid w:val="0099138D"/>
    <w:rsid w:val="0099425B"/>
    <w:rsid w:val="009A56C4"/>
    <w:rsid w:val="009C7171"/>
    <w:rsid w:val="009D0455"/>
    <w:rsid w:val="009F15FA"/>
    <w:rsid w:val="00A3712D"/>
    <w:rsid w:val="00A7536D"/>
    <w:rsid w:val="00A77AAF"/>
    <w:rsid w:val="00AA03FC"/>
    <w:rsid w:val="00AC3416"/>
    <w:rsid w:val="00AD16BE"/>
    <w:rsid w:val="00AE2A4C"/>
    <w:rsid w:val="00B01BD1"/>
    <w:rsid w:val="00B139BF"/>
    <w:rsid w:val="00B13C89"/>
    <w:rsid w:val="00B229C2"/>
    <w:rsid w:val="00B32EA8"/>
    <w:rsid w:val="00B3315A"/>
    <w:rsid w:val="00B35062"/>
    <w:rsid w:val="00B648FF"/>
    <w:rsid w:val="00B72A0E"/>
    <w:rsid w:val="00B93546"/>
    <w:rsid w:val="00BD68C6"/>
    <w:rsid w:val="00BF53C3"/>
    <w:rsid w:val="00C27022"/>
    <w:rsid w:val="00C52C00"/>
    <w:rsid w:val="00C53DD1"/>
    <w:rsid w:val="00C64266"/>
    <w:rsid w:val="00CA335A"/>
    <w:rsid w:val="00CB132D"/>
    <w:rsid w:val="00CB3126"/>
    <w:rsid w:val="00CB7F95"/>
    <w:rsid w:val="00CE5B62"/>
    <w:rsid w:val="00D006B8"/>
    <w:rsid w:val="00D12CB4"/>
    <w:rsid w:val="00D14660"/>
    <w:rsid w:val="00D14AA0"/>
    <w:rsid w:val="00D33597"/>
    <w:rsid w:val="00D33B2D"/>
    <w:rsid w:val="00D41BDC"/>
    <w:rsid w:val="00D46C6B"/>
    <w:rsid w:val="00D56D6E"/>
    <w:rsid w:val="00D700DF"/>
    <w:rsid w:val="00D9031B"/>
    <w:rsid w:val="00D96664"/>
    <w:rsid w:val="00DA4FEE"/>
    <w:rsid w:val="00DB3469"/>
    <w:rsid w:val="00DD7331"/>
    <w:rsid w:val="00E024BB"/>
    <w:rsid w:val="00E02D0D"/>
    <w:rsid w:val="00E12400"/>
    <w:rsid w:val="00E66FA9"/>
    <w:rsid w:val="00E73A26"/>
    <w:rsid w:val="00E86582"/>
    <w:rsid w:val="00EA7CDC"/>
    <w:rsid w:val="00EB3803"/>
    <w:rsid w:val="00EB5504"/>
    <w:rsid w:val="00EB78B5"/>
    <w:rsid w:val="00EE4400"/>
    <w:rsid w:val="00F15808"/>
    <w:rsid w:val="00F17F05"/>
    <w:rsid w:val="00FA1958"/>
    <w:rsid w:val="00FA2482"/>
    <w:rsid w:val="00FA4751"/>
    <w:rsid w:val="00FC037F"/>
    <w:rsid w:val="00FC6573"/>
    <w:rsid w:val="00FD3865"/>
    <w:rsid w:val="00FE10A1"/>
    <w:rsid w:val="00FE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9">
    <w:name w:val="OmniPage #9"/>
    <w:basedOn w:val="Normal"/>
    <w:pPr>
      <w:spacing w:line="240" w:lineRule="exact"/>
    </w:pPr>
  </w:style>
  <w:style w:type="paragraph" w:customStyle="1" w:styleId="OmniPage10">
    <w:name w:val="OmniPage #10"/>
    <w:basedOn w:val="Normal"/>
    <w:pPr>
      <w:spacing w:line="120" w:lineRule="exact"/>
    </w:pPr>
  </w:style>
  <w:style w:type="paragraph" w:customStyle="1" w:styleId="OmniPage11">
    <w:name w:val="OmniPage #11"/>
    <w:basedOn w:val="Normal"/>
    <w:pPr>
      <w:spacing w:line="480" w:lineRule="exact"/>
    </w:pPr>
  </w:style>
  <w:style w:type="paragraph" w:customStyle="1" w:styleId="OmniPage18">
    <w:name w:val="OmniPage #18"/>
    <w:basedOn w:val="Normal"/>
    <w:pPr>
      <w:spacing w:line="22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425B8"/>
    <w:rPr>
      <w:rFonts w:ascii="Tahoma" w:hAnsi="Tahoma" w:cs="Tahoma"/>
      <w:sz w:val="16"/>
      <w:szCs w:val="16"/>
    </w:rPr>
  </w:style>
  <w:style w:type="paragraph" w:customStyle="1" w:styleId="OmniPage1">
    <w:name w:val="OmniPage #1"/>
    <w:basedOn w:val="Normal"/>
    <w:rsid w:val="00AA03FC"/>
    <w:pPr>
      <w:spacing w:line="240" w:lineRule="exact"/>
    </w:pPr>
    <w:rPr>
      <w:rFonts w:ascii="Courier New" w:hAnsi="Courier New"/>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9">
    <w:name w:val="OmniPage #9"/>
    <w:basedOn w:val="Normal"/>
    <w:pPr>
      <w:spacing w:line="240" w:lineRule="exact"/>
    </w:pPr>
  </w:style>
  <w:style w:type="paragraph" w:customStyle="1" w:styleId="OmniPage10">
    <w:name w:val="OmniPage #10"/>
    <w:basedOn w:val="Normal"/>
    <w:pPr>
      <w:spacing w:line="120" w:lineRule="exact"/>
    </w:pPr>
  </w:style>
  <w:style w:type="paragraph" w:customStyle="1" w:styleId="OmniPage11">
    <w:name w:val="OmniPage #11"/>
    <w:basedOn w:val="Normal"/>
    <w:pPr>
      <w:spacing w:line="480" w:lineRule="exact"/>
    </w:pPr>
  </w:style>
  <w:style w:type="paragraph" w:customStyle="1" w:styleId="OmniPage18">
    <w:name w:val="OmniPage #18"/>
    <w:basedOn w:val="Normal"/>
    <w:pPr>
      <w:spacing w:line="22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425B8"/>
    <w:rPr>
      <w:rFonts w:ascii="Tahoma" w:hAnsi="Tahoma" w:cs="Tahoma"/>
      <w:sz w:val="16"/>
      <w:szCs w:val="16"/>
    </w:rPr>
  </w:style>
  <w:style w:type="paragraph" w:customStyle="1" w:styleId="OmniPage1">
    <w:name w:val="OmniPage #1"/>
    <w:basedOn w:val="Normal"/>
    <w:rsid w:val="00AA03FC"/>
    <w:pPr>
      <w:spacing w:line="240" w:lineRule="exact"/>
    </w:pPr>
    <w:rPr>
      <w:rFonts w:ascii="Courier New" w:hAnsi="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3</vt:lpstr>
    </vt:vector>
  </TitlesOfParts>
  <Company>Alaska Court System</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korzechowski</dc:creator>
  <cp:keywords/>
  <cp:lastModifiedBy>Michael Merrington</cp:lastModifiedBy>
  <cp:revision>3</cp:revision>
  <cp:lastPrinted>2015-01-28T21:38:00Z</cp:lastPrinted>
  <dcterms:created xsi:type="dcterms:W3CDTF">2017-04-04T18:51:00Z</dcterms:created>
  <dcterms:modified xsi:type="dcterms:W3CDTF">2017-04-04T18:51:00Z</dcterms:modified>
</cp:coreProperties>
</file>