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7B9" w:rsidRPr="00DC3DAE" w:rsidRDefault="001567B9" w:rsidP="001567B9">
      <w:pPr>
        <w:pStyle w:val="OmniPage1"/>
        <w:tabs>
          <w:tab w:val="left" w:pos="1440"/>
          <w:tab w:val="right" w:pos="9270"/>
        </w:tabs>
        <w:spacing w:line="240" w:lineRule="auto"/>
        <w:ind w:left="1440" w:right="43" w:hanging="1368"/>
        <w:jc w:val="both"/>
        <w:rPr>
          <w:rFonts w:ascii="Bookman Old Style" w:hAnsi="Bookman Old Style"/>
          <w:b/>
          <w:bCs/>
          <w:noProof w:val="0"/>
          <w:sz w:val="26"/>
        </w:rPr>
      </w:pPr>
      <w:bookmarkStart w:id="0" w:name="_GoBack"/>
      <w:bookmarkEnd w:id="0"/>
      <w:r>
        <w:rPr>
          <w:rFonts w:ascii="Bookman Old Style" w:hAnsi="Bookman Old Style"/>
          <w:b/>
          <w:bCs/>
          <w:sz w:val="26"/>
          <w:szCs w:val="26"/>
        </w:rPr>
        <w:t>21</w:t>
      </w:r>
      <w:r w:rsidRPr="00DC3DAE">
        <w:rPr>
          <w:rFonts w:ascii="Bookman Old Style" w:hAnsi="Bookman Old Style"/>
          <w:b/>
          <w:bCs/>
          <w:sz w:val="26"/>
          <w:szCs w:val="26"/>
        </w:rPr>
        <w:t>.0</w:t>
      </w:r>
      <w:r w:rsidR="00EB634D" w:rsidRPr="00DC3DAE">
        <w:rPr>
          <w:rFonts w:ascii="Bookman Old Style" w:hAnsi="Bookman Old Style"/>
          <w:b/>
          <w:bCs/>
          <w:sz w:val="26"/>
          <w:szCs w:val="26"/>
        </w:rPr>
        <w:t>4</w:t>
      </w:r>
      <w:r w:rsidR="008250BA" w:rsidRPr="00DC3DAE">
        <w:rPr>
          <w:rFonts w:ascii="Bookman Old Style" w:hAnsi="Bookman Old Style"/>
          <w:b/>
          <w:bCs/>
          <w:sz w:val="26"/>
          <w:szCs w:val="26"/>
        </w:rPr>
        <w:t xml:space="preserve">  </w:t>
      </w:r>
      <w:r w:rsidR="00E31EE2" w:rsidRPr="00DC3DAE">
        <w:rPr>
          <w:rFonts w:ascii="Bookman Old Style" w:hAnsi="Bookman Old Style"/>
          <w:b/>
          <w:bCs/>
          <w:sz w:val="26"/>
          <w:szCs w:val="26"/>
        </w:rPr>
        <w:tab/>
      </w:r>
      <w:r w:rsidR="00685094">
        <w:rPr>
          <w:rFonts w:ascii="Bookman Old Style" w:hAnsi="Bookman Old Style"/>
          <w:b/>
          <w:bCs/>
          <w:noProof w:val="0"/>
          <w:sz w:val="26"/>
        </w:rPr>
        <w:t xml:space="preserve">NEGLIGENT BAILMENT – </w:t>
      </w:r>
      <w:r w:rsidRPr="00DC3DAE">
        <w:rPr>
          <w:rFonts w:ascii="Bookman Old Style" w:hAnsi="Bookman Old Style"/>
          <w:b/>
          <w:bCs/>
          <w:noProof w:val="0"/>
          <w:sz w:val="26"/>
        </w:rPr>
        <w:t>AFFIRMATIVE DEFENSES</w:t>
      </w:r>
    </w:p>
    <w:p w:rsidR="008250BA" w:rsidRDefault="008250BA" w:rsidP="001C4745">
      <w:pPr>
        <w:rPr>
          <w:rFonts w:ascii="Bookman Old Style" w:hAnsi="Bookman Old Style"/>
          <w:b/>
          <w:bCs/>
          <w:sz w:val="26"/>
          <w:szCs w:val="26"/>
        </w:rPr>
      </w:pPr>
    </w:p>
    <w:p w:rsidR="001C4745" w:rsidRPr="00DC3DAE" w:rsidRDefault="001C4745" w:rsidP="001C4745">
      <w:pPr>
        <w:rPr>
          <w:rFonts w:ascii="Bookman Old Style" w:hAnsi="Bookman Old Style"/>
          <w:b/>
          <w:bCs/>
          <w:sz w:val="26"/>
          <w:szCs w:val="26"/>
        </w:rPr>
      </w:pPr>
    </w:p>
    <w:p w:rsidR="004E3F5B" w:rsidRPr="001C4745" w:rsidRDefault="008250BA" w:rsidP="00E31EE2">
      <w:pPr>
        <w:spacing w:line="360" w:lineRule="auto"/>
        <w:jc w:val="both"/>
        <w:rPr>
          <w:rFonts w:ascii="Bookman Old Style" w:hAnsi="Bookman Old Style"/>
        </w:rPr>
      </w:pPr>
      <w:r w:rsidRPr="001C4745">
        <w:rPr>
          <w:rFonts w:ascii="Bookman Old Style" w:hAnsi="Bookman Old Style"/>
        </w:rPr>
        <w:t xml:space="preserve">The defendant is not liable for </w:t>
      </w:r>
      <w:r w:rsidR="0011660D" w:rsidRPr="001C4745">
        <w:rPr>
          <w:rFonts w:ascii="Bookman Old Style" w:hAnsi="Bookman Old Style"/>
        </w:rPr>
        <w:t>[</w:t>
      </w:r>
      <w:r w:rsidR="001164DF" w:rsidRPr="001C4745">
        <w:rPr>
          <w:rFonts w:ascii="Bookman Old Style" w:hAnsi="Bookman Old Style"/>
        </w:rPr>
        <w:t>damage to</w:t>
      </w:r>
      <w:r w:rsidR="0011660D" w:rsidRPr="001C4745">
        <w:rPr>
          <w:rFonts w:ascii="Bookman Old Style" w:hAnsi="Bookman Old Style"/>
        </w:rPr>
        <w:t>]</w:t>
      </w:r>
      <w:r w:rsidR="001164DF" w:rsidRPr="001C4745">
        <w:rPr>
          <w:rFonts w:ascii="Bookman Old Style" w:hAnsi="Bookman Old Style"/>
        </w:rPr>
        <w:t xml:space="preserve"> </w:t>
      </w:r>
      <w:r w:rsidR="0011660D" w:rsidRPr="001C4745">
        <w:rPr>
          <w:rFonts w:ascii="Bookman Old Style" w:hAnsi="Bookman Old Style"/>
        </w:rPr>
        <w:t>[</w:t>
      </w:r>
      <w:r w:rsidR="001164DF" w:rsidRPr="001C4745">
        <w:rPr>
          <w:rFonts w:ascii="Bookman Old Style" w:hAnsi="Bookman Old Style"/>
        </w:rPr>
        <w:t>loss of</w:t>
      </w:r>
      <w:r w:rsidR="0011660D" w:rsidRPr="001C4745">
        <w:rPr>
          <w:rFonts w:ascii="Bookman Old Style" w:hAnsi="Bookman Old Style"/>
        </w:rPr>
        <w:t>]</w:t>
      </w:r>
      <w:r w:rsidR="001164DF" w:rsidRPr="001C4745">
        <w:rPr>
          <w:rFonts w:ascii="Bookman Old Style" w:hAnsi="Bookman Old Style"/>
        </w:rPr>
        <w:t xml:space="preserve"> the </w:t>
      </w:r>
      <w:r w:rsidR="00490233" w:rsidRPr="001C4745">
        <w:rPr>
          <w:rFonts w:ascii="Bookman Old Style" w:hAnsi="Bookman Old Style"/>
        </w:rPr>
        <w:t>[bailed property]</w:t>
      </w:r>
      <w:r w:rsidRPr="001C4745">
        <w:rPr>
          <w:rFonts w:ascii="Bookman Old Style" w:hAnsi="Bookman Old Style"/>
        </w:rPr>
        <w:t xml:space="preserve"> if it is more likely true than not true</w:t>
      </w:r>
      <w:r w:rsidR="00264E38" w:rsidRPr="001C4745">
        <w:rPr>
          <w:rFonts w:ascii="Bookman Old Style" w:hAnsi="Bookman Old Style"/>
        </w:rPr>
        <w:t xml:space="preserve"> that</w:t>
      </w:r>
      <w:r w:rsidRPr="001C4745">
        <w:rPr>
          <w:rFonts w:ascii="Bookman Old Style" w:hAnsi="Bookman Old Style"/>
        </w:rPr>
        <w:t>:</w:t>
      </w:r>
    </w:p>
    <w:p w:rsidR="001567B9" w:rsidRPr="001C4745" w:rsidRDefault="001567B9" w:rsidP="00E31EE2">
      <w:pPr>
        <w:spacing w:line="360" w:lineRule="auto"/>
        <w:jc w:val="both"/>
        <w:rPr>
          <w:rFonts w:ascii="Bookman Old Style" w:hAnsi="Bookman Old Style"/>
        </w:rPr>
      </w:pPr>
    </w:p>
    <w:p w:rsidR="001567B9" w:rsidRPr="001C4745" w:rsidRDefault="004F4ED2" w:rsidP="00DC3DAE">
      <w:pPr>
        <w:spacing w:line="360" w:lineRule="auto"/>
        <w:ind w:left="720"/>
        <w:jc w:val="both"/>
        <w:rPr>
          <w:rFonts w:ascii="Bookman Old Style" w:hAnsi="Bookman Old Style"/>
        </w:rPr>
      </w:pPr>
      <w:r w:rsidRPr="001C4745">
        <w:rPr>
          <w:rFonts w:ascii="Bookman Old Style" w:hAnsi="Bookman Old Style"/>
        </w:rPr>
        <w:t>[</w:t>
      </w:r>
      <w:r w:rsidR="00C07645" w:rsidRPr="001C4745">
        <w:rPr>
          <w:rFonts w:ascii="Bookman Old Style" w:hAnsi="Bookman Old Style"/>
        </w:rPr>
        <w:t>The p</w:t>
      </w:r>
      <w:r w:rsidR="005356B9" w:rsidRPr="001C4745">
        <w:rPr>
          <w:rFonts w:ascii="Bookman Old Style" w:hAnsi="Bookman Old Style"/>
        </w:rPr>
        <w:t>laintiff agreed to obtain insurance</w:t>
      </w:r>
      <w:r w:rsidR="00DE54B6" w:rsidRPr="001C4745">
        <w:rPr>
          <w:rFonts w:ascii="Bookman Old Style" w:hAnsi="Bookman Old Style"/>
        </w:rPr>
        <w:t xml:space="preserve"> </w:t>
      </w:r>
      <w:r w:rsidR="005356B9" w:rsidRPr="001C4745">
        <w:rPr>
          <w:rFonts w:ascii="Bookman Old Style" w:hAnsi="Bookman Old Style"/>
        </w:rPr>
        <w:t>cover</w:t>
      </w:r>
      <w:r w:rsidR="00DE54B6" w:rsidRPr="001C4745">
        <w:rPr>
          <w:rFonts w:ascii="Bookman Old Style" w:hAnsi="Bookman Old Style"/>
        </w:rPr>
        <w:t>ing the</w:t>
      </w:r>
      <w:r w:rsidR="005356B9" w:rsidRPr="001C4745">
        <w:rPr>
          <w:rFonts w:ascii="Bookman Old Style" w:hAnsi="Bookman Old Style"/>
        </w:rPr>
        <w:t xml:space="preserve"> risk o</w:t>
      </w:r>
      <w:r w:rsidRPr="001C4745">
        <w:rPr>
          <w:rFonts w:ascii="Bookman Old Style" w:hAnsi="Bookman Old Style"/>
        </w:rPr>
        <w:t>f</w:t>
      </w:r>
      <w:r w:rsidR="005356B9" w:rsidRPr="001C4745">
        <w:rPr>
          <w:rFonts w:ascii="Bookman Old Style" w:hAnsi="Bookman Old Style"/>
        </w:rPr>
        <w:t xml:space="preserve"> </w:t>
      </w:r>
      <w:r w:rsidRPr="001C4745">
        <w:rPr>
          <w:rFonts w:ascii="Bookman Old Style" w:hAnsi="Bookman Old Style"/>
        </w:rPr>
        <w:t xml:space="preserve">loss or </w:t>
      </w:r>
      <w:r w:rsidR="005356B9" w:rsidRPr="001C4745">
        <w:rPr>
          <w:rFonts w:ascii="Bookman Old Style" w:hAnsi="Bookman Old Style"/>
        </w:rPr>
        <w:t xml:space="preserve">damage to the </w:t>
      </w:r>
      <w:r w:rsidR="00490233" w:rsidRPr="001C4745">
        <w:rPr>
          <w:rFonts w:ascii="Bookman Old Style" w:hAnsi="Bookman Old Style"/>
        </w:rPr>
        <w:t xml:space="preserve">[bailed </w:t>
      </w:r>
      <w:r w:rsidR="005356B9" w:rsidRPr="001C4745">
        <w:rPr>
          <w:rFonts w:ascii="Bookman Old Style" w:hAnsi="Bookman Old Style"/>
        </w:rPr>
        <w:t>property</w:t>
      </w:r>
      <w:r w:rsidR="00490233" w:rsidRPr="001C4745">
        <w:rPr>
          <w:rFonts w:ascii="Bookman Old Style" w:hAnsi="Bookman Old Style"/>
        </w:rPr>
        <w:t>]</w:t>
      </w:r>
      <w:r w:rsidRPr="001C4745">
        <w:rPr>
          <w:rFonts w:ascii="Bookman Old Style" w:hAnsi="Bookman Old Style"/>
        </w:rPr>
        <w:t xml:space="preserve"> while</w:t>
      </w:r>
      <w:r w:rsidR="001164DF" w:rsidRPr="001C4745">
        <w:rPr>
          <w:rFonts w:ascii="Bookman Old Style" w:hAnsi="Bookman Old Style"/>
        </w:rPr>
        <w:t xml:space="preserve"> it was</w:t>
      </w:r>
      <w:r w:rsidRPr="001C4745">
        <w:rPr>
          <w:rFonts w:ascii="Bookman Old Style" w:hAnsi="Bookman Old Style"/>
        </w:rPr>
        <w:t xml:space="preserve"> in the </w:t>
      </w:r>
      <w:r w:rsidR="00490233" w:rsidRPr="001C4745">
        <w:rPr>
          <w:rFonts w:ascii="Bookman Old Style" w:hAnsi="Bookman Old Style"/>
        </w:rPr>
        <w:t>d</w:t>
      </w:r>
      <w:r w:rsidRPr="001C4745">
        <w:rPr>
          <w:rFonts w:ascii="Bookman Old Style" w:hAnsi="Bookman Old Style"/>
        </w:rPr>
        <w:t>efendant’s possession] [.] [; or]</w:t>
      </w:r>
      <w:r w:rsidR="005356B9" w:rsidRPr="001C4745">
        <w:rPr>
          <w:rFonts w:ascii="Bookman Old Style" w:hAnsi="Bookman Old Style"/>
        </w:rPr>
        <w:t xml:space="preserve"> </w:t>
      </w:r>
    </w:p>
    <w:p w:rsidR="00DA5EE6" w:rsidRPr="001C4745" w:rsidRDefault="00DA5EE6" w:rsidP="00DC3DAE">
      <w:pPr>
        <w:spacing w:line="360" w:lineRule="auto"/>
        <w:ind w:left="720"/>
        <w:jc w:val="both"/>
        <w:rPr>
          <w:rFonts w:ascii="Bookman Old Style" w:hAnsi="Bookman Old Style"/>
        </w:rPr>
      </w:pPr>
    </w:p>
    <w:p w:rsidR="00DA5EE6" w:rsidRPr="001C4745" w:rsidRDefault="00C07645" w:rsidP="00DC3DAE">
      <w:pPr>
        <w:spacing w:line="360" w:lineRule="auto"/>
        <w:ind w:left="720"/>
        <w:jc w:val="both"/>
        <w:rPr>
          <w:rFonts w:ascii="Bookman Old Style" w:hAnsi="Bookman Old Style"/>
        </w:rPr>
      </w:pPr>
      <w:r w:rsidRPr="001C4745">
        <w:rPr>
          <w:rFonts w:ascii="Bookman Old Style" w:hAnsi="Bookman Old Style"/>
        </w:rPr>
        <w:t>[The p</w:t>
      </w:r>
      <w:r w:rsidR="00DA5EE6" w:rsidRPr="001C4745">
        <w:rPr>
          <w:rFonts w:ascii="Bookman Old Style" w:hAnsi="Bookman Old Style"/>
        </w:rPr>
        <w:t xml:space="preserve">laintiff agreed to assume responsibility for loss </w:t>
      </w:r>
      <w:r w:rsidR="002D5EC3" w:rsidRPr="001C4745">
        <w:rPr>
          <w:rFonts w:ascii="Bookman Old Style" w:hAnsi="Bookman Old Style"/>
        </w:rPr>
        <w:t xml:space="preserve">or damage </w:t>
      </w:r>
      <w:r w:rsidR="00DA5EE6" w:rsidRPr="001C4745">
        <w:rPr>
          <w:rFonts w:ascii="Bookman Old Style" w:hAnsi="Bookman Old Style"/>
        </w:rPr>
        <w:t xml:space="preserve">to the </w:t>
      </w:r>
      <w:r w:rsidR="00490233" w:rsidRPr="001C4745">
        <w:rPr>
          <w:rFonts w:ascii="Bookman Old Style" w:hAnsi="Bookman Old Style"/>
        </w:rPr>
        <w:t xml:space="preserve">[bailed </w:t>
      </w:r>
      <w:r w:rsidR="00DA5EE6" w:rsidRPr="001C4745">
        <w:rPr>
          <w:rFonts w:ascii="Bookman Old Style" w:hAnsi="Bookman Old Style"/>
        </w:rPr>
        <w:t>property</w:t>
      </w:r>
      <w:r w:rsidR="00490233" w:rsidRPr="001C4745">
        <w:rPr>
          <w:rFonts w:ascii="Bookman Old Style" w:hAnsi="Bookman Old Style"/>
        </w:rPr>
        <w:t>]</w:t>
      </w:r>
      <w:r w:rsidR="00E07D32" w:rsidRPr="001C4745">
        <w:rPr>
          <w:rFonts w:ascii="Bookman Old Style" w:hAnsi="Bookman Old Style"/>
        </w:rPr>
        <w:t xml:space="preserve"> while </w:t>
      </w:r>
      <w:r w:rsidR="001164DF" w:rsidRPr="001C4745">
        <w:rPr>
          <w:rFonts w:ascii="Bookman Old Style" w:hAnsi="Bookman Old Style"/>
        </w:rPr>
        <w:t xml:space="preserve">it was </w:t>
      </w:r>
      <w:r w:rsidR="00E07D32" w:rsidRPr="001C4745">
        <w:rPr>
          <w:rFonts w:ascii="Bookman Old Style" w:hAnsi="Bookman Old Style"/>
        </w:rPr>
        <w:t xml:space="preserve">in the </w:t>
      </w:r>
      <w:r w:rsidR="00490233" w:rsidRPr="001C4745">
        <w:rPr>
          <w:rFonts w:ascii="Bookman Old Style" w:hAnsi="Bookman Old Style"/>
        </w:rPr>
        <w:t>d</w:t>
      </w:r>
      <w:r w:rsidR="00E07D32" w:rsidRPr="001C4745">
        <w:rPr>
          <w:rFonts w:ascii="Bookman Old Style" w:hAnsi="Bookman Old Style"/>
        </w:rPr>
        <w:t>efendant’</w:t>
      </w:r>
      <w:r w:rsidR="001164DF" w:rsidRPr="001C4745">
        <w:rPr>
          <w:rFonts w:ascii="Bookman Old Style" w:hAnsi="Bookman Old Style"/>
        </w:rPr>
        <w:t>s possession</w:t>
      </w:r>
      <w:r w:rsidR="00DA5EE6" w:rsidRPr="001C4745">
        <w:rPr>
          <w:rFonts w:ascii="Bookman Old Style" w:hAnsi="Bookman Old Style"/>
        </w:rPr>
        <w:t>] [.] [; or]</w:t>
      </w:r>
    </w:p>
    <w:p w:rsidR="001A562B" w:rsidRPr="001C4745" w:rsidRDefault="001A562B" w:rsidP="00DC3DAE">
      <w:pPr>
        <w:spacing w:line="360" w:lineRule="auto"/>
        <w:ind w:left="720"/>
        <w:jc w:val="both"/>
        <w:rPr>
          <w:rFonts w:ascii="Bookman Old Style" w:hAnsi="Bookman Old Style"/>
        </w:rPr>
      </w:pPr>
    </w:p>
    <w:p w:rsidR="00D733A8" w:rsidRPr="001C4745" w:rsidRDefault="00C07645" w:rsidP="00DC3DAE">
      <w:pPr>
        <w:spacing w:line="360" w:lineRule="auto"/>
        <w:ind w:left="720"/>
        <w:jc w:val="both"/>
        <w:rPr>
          <w:rFonts w:ascii="Bookman Old Style" w:hAnsi="Bookman Old Style"/>
        </w:rPr>
      </w:pPr>
      <w:r w:rsidRPr="001C4745">
        <w:rPr>
          <w:rFonts w:ascii="Bookman Old Style" w:hAnsi="Bookman Old Style"/>
        </w:rPr>
        <w:t>[The d</w:t>
      </w:r>
      <w:r w:rsidR="00D733A8" w:rsidRPr="001C4745">
        <w:rPr>
          <w:rFonts w:ascii="Bookman Old Style" w:hAnsi="Bookman Old Style"/>
        </w:rPr>
        <w:t xml:space="preserve">efendant surrendered the </w:t>
      </w:r>
      <w:r w:rsidR="00490233" w:rsidRPr="001C4745">
        <w:rPr>
          <w:rFonts w:ascii="Bookman Old Style" w:hAnsi="Bookman Old Style"/>
        </w:rPr>
        <w:t xml:space="preserve">[bailed </w:t>
      </w:r>
      <w:r w:rsidR="00D733A8" w:rsidRPr="001C4745">
        <w:rPr>
          <w:rFonts w:ascii="Bookman Old Style" w:hAnsi="Bookman Old Style"/>
        </w:rPr>
        <w:t>property</w:t>
      </w:r>
      <w:r w:rsidR="00490233" w:rsidRPr="001C4745">
        <w:rPr>
          <w:rFonts w:ascii="Bookman Old Style" w:hAnsi="Bookman Old Style"/>
        </w:rPr>
        <w:t>]</w:t>
      </w:r>
      <w:r w:rsidR="00D733A8" w:rsidRPr="001C4745">
        <w:rPr>
          <w:rFonts w:ascii="Bookman Old Style" w:hAnsi="Bookman Old Style"/>
        </w:rPr>
        <w:t xml:space="preserve"> on the demand of or seizure by a law enfor</w:t>
      </w:r>
      <w:r w:rsidR="00DA5EE6" w:rsidRPr="001C4745">
        <w:rPr>
          <w:rFonts w:ascii="Bookman Old Style" w:hAnsi="Bookman Old Style"/>
        </w:rPr>
        <w:t>ce</w:t>
      </w:r>
      <w:r w:rsidR="00D733A8" w:rsidRPr="001C4745">
        <w:rPr>
          <w:rFonts w:ascii="Bookman Old Style" w:hAnsi="Bookman Old Style"/>
        </w:rPr>
        <w:t>ment officer] [.] [; or]</w:t>
      </w:r>
    </w:p>
    <w:p w:rsidR="00DA5EE6" w:rsidRPr="001C4745" w:rsidRDefault="00DA5EE6" w:rsidP="00DC3DAE">
      <w:pPr>
        <w:spacing w:line="360" w:lineRule="auto"/>
        <w:ind w:left="720"/>
        <w:jc w:val="both"/>
        <w:rPr>
          <w:rFonts w:ascii="Bookman Old Style" w:hAnsi="Bookman Old Style"/>
        </w:rPr>
      </w:pPr>
    </w:p>
    <w:p w:rsidR="00DA5EE6" w:rsidRPr="001C4745" w:rsidRDefault="00685094" w:rsidP="00DC3DAE">
      <w:pPr>
        <w:spacing w:line="360" w:lineRule="auto"/>
        <w:ind w:left="720"/>
        <w:jc w:val="both"/>
        <w:rPr>
          <w:rFonts w:ascii="Bookman Old Style" w:hAnsi="Bookman Old Style"/>
        </w:rPr>
      </w:pPr>
      <w:r w:rsidRPr="001C4745">
        <w:rPr>
          <w:rFonts w:ascii="Bookman Old Style" w:hAnsi="Bookman Old Style"/>
        </w:rPr>
        <w:t>[The p</w:t>
      </w:r>
      <w:r w:rsidR="00DA5EE6" w:rsidRPr="001C4745">
        <w:rPr>
          <w:rFonts w:ascii="Bookman Old Style" w:hAnsi="Bookman Old Style"/>
        </w:rPr>
        <w:t xml:space="preserve">laintiff </w:t>
      </w:r>
      <w:r w:rsidR="00EB634D" w:rsidRPr="001C4745">
        <w:rPr>
          <w:rFonts w:ascii="Bookman Old Style" w:hAnsi="Bookman Old Style"/>
        </w:rPr>
        <w:t xml:space="preserve">gave </w:t>
      </w:r>
      <w:r w:rsidR="00DA5EE6" w:rsidRPr="001C4745">
        <w:rPr>
          <w:rFonts w:ascii="Bookman Old Style" w:hAnsi="Bookman Old Style"/>
        </w:rPr>
        <w:t xml:space="preserve">the </w:t>
      </w:r>
      <w:r w:rsidR="00DE54B6" w:rsidRPr="001C4745">
        <w:rPr>
          <w:rFonts w:ascii="Bookman Old Style" w:hAnsi="Bookman Old Style"/>
        </w:rPr>
        <w:t xml:space="preserve">[bailed </w:t>
      </w:r>
      <w:r w:rsidR="00DA5EE6" w:rsidRPr="001C4745">
        <w:rPr>
          <w:rFonts w:ascii="Bookman Old Style" w:hAnsi="Bookman Old Style"/>
        </w:rPr>
        <w:t>property</w:t>
      </w:r>
      <w:r w:rsidR="00DE54B6" w:rsidRPr="001C4745">
        <w:rPr>
          <w:rFonts w:ascii="Bookman Old Style" w:hAnsi="Bookman Old Style"/>
        </w:rPr>
        <w:t>]</w:t>
      </w:r>
      <w:r w:rsidR="00DA5EE6" w:rsidRPr="001C4745">
        <w:rPr>
          <w:rFonts w:ascii="Bookman Old Style" w:hAnsi="Bookman Old Style"/>
        </w:rPr>
        <w:t xml:space="preserve"> to </w:t>
      </w:r>
      <w:r w:rsidRPr="001C4745">
        <w:rPr>
          <w:rFonts w:ascii="Bookman Old Style" w:hAnsi="Bookman Old Style"/>
        </w:rPr>
        <w:t xml:space="preserve">the </w:t>
      </w:r>
      <w:r w:rsidR="00490233" w:rsidRPr="001C4745">
        <w:rPr>
          <w:rFonts w:ascii="Bookman Old Style" w:hAnsi="Bookman Old Style"/>
        </w:rPr>
        <w:t>d</w:t>
      </w:r>
      <w:r w:rsidR="00DA5EE6" w:rsidRPr="001C4745">
        <w:rPr>
          <w:rFonts w:ascii="Bookman Old Style" w:hAnsi="Bookman Old Style"/>
        </w:rPr>
        <w:t xml:space="preserve">efendant </w:t>
      </w:r>
      <w:r w:rsidR="00DE54B6" w:rsidRPr="001C4745">
        <w:rPr>
          <w:rFonts w:ascii="Bookman Old Style" w:hAnsi="Bookman Old Style"/>
        </w:rPr>
        <w:t>for</w:t>
      </w:r>
      <w:r w:rsidR="00DA5EE6" w:rsidRPr="001C4745">
        <w:rPr>
          <w:rFonts w:ascii="Bookman Old Style" w:hAnsi="Bookman Old Style"/>
        </w:rPr>
        <w:t xml:space="preserve"> use in [his]</w:t>
      </w:r>
      <w:r w:rsidR="00DE54B6" w:rsidRPr="001C4745">
        <w:rPr>
          <w:rFonts w:ascii="Bookman Old Style" w:hAnsi="Bookman Old Style"/>
        </w:rPr>
        <w:t>[</w:t>
      </w:r>
      <w:r w:rsidR="00DA5EE6" w:rsidRPr="001C4745">
        <w:rPr>
          <w:rFonts w:ascii="Bookman Old Style" w:hAnsi="Bookman Old Style"/>
        </w:rPr>
        <w:t xml:space="preserve">her] business and the </w:t>
      </w:r>
      <w:r w:rsidR="00DE54B6" w:rsidRPr="001C4745">
        <w:rPr>
          <w:rFonts w:ascii="Bookman Old Style" w:hAnsi="Bookman Old Style"/>
        </w:rPr>
        <w:t xml:space="preserve">[bailed </w:t>
      </w:r>
      <w:r w:rsidR="00DA5EE6" w:rsidRPr="001C4745">
        <w:rPr>
          <w:rFonts w:ascii="Bookman Old Style" w:hAnsi="Bookman Old Style"/>
        </w:rPr>
        <w:t>property</w:t>
      </w:r>
      <w:r w:rsidR="00DE54B6" w:rsidRPr="001C4745">
        <w:rPr>
          <w:rFonts w:ascii="Bookman Old Style" w:hAnsi="Bookman Old Style"/>
        </w:rPr>
        <w:t>]</w:t>
      </w:r>
      <w:r w:rsidR="00DA5EE6" w:rsidRPr="001C4745">
        <w:rPr>
          <w:rFonts w:ascii="Bookman Old Style" w:hAnsi="Bookman Old Style"/>
        </w:rPr>
        <w:t xml:space="preserve"> was lost or damaged by normal use] [.] </w:t>
      </w:r>
    </w:p>
    <w:p w:rsidR="00000475" w:rsidRPr="001C4745" w:rsidRDefault="00000475" w:rsidP="00264E38">
      <w:pPr>
        <w:jc w:val="center"/>
        <w:rPr>
          <w:rFonts w:ascii="Bookman Old Style" w:hAnsi="Bookman Old Style"/>
          <w:u w:val="single"/>
        </w:rPr>
      </w:pPr>
    </w:p>
    <w:p w:rsidR="00264E38" w:rsidRPr="001C4745" w:rsidRDefault="00E31EE2" w:rsidP="00264E38">
      <w:pPr>
        <w:jc w:val="center"/>
        <w:rPr>
          <w:rFonts w:ascii="Bookman Old Style" w:hAnsi="Bookman Old Style"/>
          <w:b/>
        </w:rPr>
      </w:pPr>
      <w:r w:rsidRPr="001C4745">
        <w:rPr>
          <w:rFonts w:ascii="Bookman Old Style" w:hAnsi="Bookman Old Style"/>
          <w:b/>
        </w:rPr>
        <w:t>Use</w:t>
      </w:r>
      <w:r w:rsidR="0081243D" w:rsidRPr="001C4745">
        <w:rPr>
          <w:rFonts w:ascii="Bookman Old Style" w:hAnsi="Bookman Old Style"/>
          <w:b/>
        </w:rPr>
        <w:t xml:space="preserve"> Note</w:t>
      </w:r>
    </w:p>
    <w:p w:rsidR="00264E38" w:rsidRPr="001C4745" w:rsidRDefault="00264E38" w:rsidP="00264E38">
      <w:pPr>
        <w:jc w:val="center"/>
        <w:rPr>
          <w:rFonts w:ascii="Bookman Old Style" w:hAnsi="Bookman Old Style"/>
        </w:rPr>
      </w:pPr>
    </w:p>
    <w:p w:rsidR="00264E38" w:rsidRPr="001C4745" w:rsidRDefault="00264E38" w:rsidP="00750DAA">
      <w:pPr>
        <w:jc w:val="both"/>
        <w:rPr>
          <w:rFonts w:ascii="Bookman Old Style" w:hAnsi="Bookman Old Style"/>
        </w:rPr>
      </w:pPr>
      <w:r w:rsidRPr="001C4745">
        <w:rPr>
          <w:rFonts w:ascii="Bookman Old Style" w:hAnsi="Bookman Old Style"/>
        </w:rPr>
        <w:t xml:space="preserve">This instruction should be given </w:t>
      </w:r>
      <w:r w:rsidR="00FB2320" w:rsidRPr="001C4745">
        <w:rPr>
          <w:rFonts w:ascii="Bookman Old Style" w:hAnsi="Bookman Old Style"/>
        </w:rPr>
        <w:t xml:space="preserve">when </w:t>
      </w:r>
      <w:r w:rsidR="00685094" w:rsidRPr="001C4745">
        <w:rPr>
          <w:rFonts w:ascii="Bookman Old Style" w:hAnsi="Bookman Old Style"/>
        </w:rPr>
        <w:t xml:space="preserve">the </w:t>
      </w:r>
      <w:r w:rsidR="00FB2320" w:rsidRPr="001C4745">
        <w:rPr>
          <w:rFonts w:ascii="Bookman Old Style" w:hAnsi="Bookman Old Style"/>
        </w:rPr>
        <w:t>defendant asserts one or more of the affirmative defenses</w:t>
      </w:r>
      <w:r w:rsidR="00DE54B6" w:rsidRPr="001C4745">
        <w:rPr>
          <w:rFonts w:ascii="Bookman Old Style" w:hAnsi="Bookman Old Style"/>
        </w:rPr>
        <w:t xml:space="preserve"> shown</w:t>
      </w:r>
      <w:r w:rsidR="00FB2320" w:rsidRPr="001C4745">
        <w:rPr>
          <w:rFonts w:ascii="Bookman Old Style" w:hAnsi="Bookman Old Style"/>
        </w:rPr>
        <w:t xml:space="preserve">.  </w:t>
      </w:r>
    </w:p>
    <w:p w:rsidR="007C4F16" w:rsidRPr="001C4745" w:rsidRDefault="007C4F16" w:rsidP="00264E38">
      <w:pPr>
        <w:rPr>
          <w:rFonts w:ascii="Bookman Old Style" w:hAnsi="Bookman Old Style"/>
        </w:rPr>
      </w:pPr>
    </w:p>
    <w:p w:rsidR="00264E38" w:rsidRPr="001C4745" w:rsidRDefault="007C4F16" w:rsidP="007C4F16">
      <w:pPr>
        <w:jc w:val="center"/>
        <w:rPr>
          <w:rFonts w:ascii="Bookman Old Style" w:hAnsi="Bookman Old Style"/>
          <w:b/>
        </w:rPr>
      </w:pPr>
      <w:r w:rsidRPr="001C4745">
        <w:rPr>
          <w:rFonts w:ascii="Bookman Old Style" w:hAnsi="Bookman Old Style"/>
          <w:b/>
        </w:rPr>
        <w:t>Comment</w:t>
      </w:r>
    </w:p>
    <w:p w:rsidR="007C4F16" w:rsidRPr="001C4745" w:rsidRDefault="007C4F16" w:rsidP="007C4F16">
      <w:pPr>
        <w:jc w:val="center"/>
        <w:rPr>
          <w:rFonts w:ascii="Bookman Old Style" w:hAnsi="Bookman Old Style"/>
        </w:rPr>
      </w:pPr>
    </w:p>
    <w:p w:rsidR="00687763" w:rsidRPr="001C4745" w:rsidRDefault="00FB2320" w:rsidP="00687763">
      <w:pPr>
        <w:jc w:val="both"/>
        <w:rPr>
          <w:rFonts w:ascii="Bookman Old Style" w:hAnsi="Bookman Old Style"/>
        </w:rPr>
      </w:pPr>
      <w:r w:rsidRPr="001C4745">
        <w:rPr>
          <w:rFonts w:ascii="Bookman Old Style" w:hAnsi="Bookman Old Style"/>
        </w:rPr>
        <w:t xml:space="preserve">Decisions of the Alaska Supreme Court </w:t>
      </w:r>
      <w:r w:rsidR="00E66460" w:rsidRPr="001C4745">
        <w:rPr>
          <w:rFonts w:ascii="Bookman Old Style" w:hAnsi="Bookman Old Style"/>
        </w:rPr>
        <w:t xml:space="preserve">provide a basis for several </w:t>
      </w:r>
      <w:r w:rsidR="00BB563E" w:rsidRPr="001C4745">
        <w:rPr>
          <w:rFonts w:ascii="Bookman Old Style" w:hAnsi="Bookman Old Style"/>
        </w:rPr>
        <w:t xml:space="preserve"> </w:t>
      </w:r>
      <w:r w:rsidRPr="001C4745">
        <w:rPr>
          <w:rFonts w:ascii="Bookman Old Style" w:hAnsi="Bookman Old Style"/>
        </w:rPr>
        <w:t xml:space="preserve"> defenses to a claim based on loss or damage to bailed goods.  </w:t>
      </w:r>
      <w:r w:rsidR="00687763" w:rsidRPr="001C4745">
        <w:rPr>
          <w:rFonts w:ascii="Bookman Old Style" w:hAnsi="Bookman Old Style"/>
        </w:rPr>
        <w:t>Instruction 21.</w:t>
      </w:r>
      <w:r w:rsidR="00E66460" w:rsidRPr="001C4745">
        <w:rPr>
          <w:rFonts w:ascii="Bookman Old Style" w:hAnsi="Bookman Old Style"/>
        </w:rPr>
        <w:t>04</w:t>
      </w:r>
      <w:r w:rsidR="00687763" w:rsidRPr="001C4745">
        <w:rPr>
          <w:rFonts w:ascii="Bookman Old Style" w:hAnsi="Bookman Old Style"/>
        </w:rPr>
        <w:t xml:space="preserve"> sets </w:t>
      </w:r>
      <w:r w:rsidR="00E66460" w:rsidRPr="001C4745">
        <w:rPr>
          <w:rFonts w:ascii="Bookman Old Style" w:hAnsi="Bookman Old Style"/>
        </w:rPr>
        <w:t xml:space="preserve">forth </w:t>
      </w:r>
      <w:r w:rsidR="00687763" w:rsidRPr="001C4745">
        <w:rPr>
          <w:rFonts w:ascii="Bookman Old Style" w:hAnsi="Bookman Old Style"/>
        </w:rPr>
        <w:t>the</w:t>
      </w:r>
      <w:r w:rsidR="00E66460" w:rsidRPr="001C4745">
        <w:rPr>
          <w:rFonts w:ascii="Bookman Old Style" w:hAnsi="Bookman Old Style"/>
        </w:rPr>
        <w:t>se</w:t>
      </w:r>
      <w:r w:rsidR="00687763" w:rsidRPr="001C4745">
        <w:rPr>
          <w:rFonts w:ascii="Bookman Old Style" w:hAnsi="Bookman Old Style"/>
        </w:rPr>
        <w:t xml:space="preserve"> defenses.</w:t>
      </w:r>
    </w:p>
    <w:p w:rsidR="00687763" w:rsidRPr="001C4745" w:rsidRDefault="00687763" w:rsidP="005356B9">
      <w:pPr>
        <w:jc w:val="both"/>
        <w:rPr>
          <w:rFonts w:ascii="Bookman Old Style" w:hAnsi="Bookman Old Style"/>
        </w:rPr>
      </w:pPr>
    </w:p>
    <w:p w:rsidR="00FB2320" w:rsidRPr="001C4745" w:rsidRDefault="005356B9" w:rsidP="005356B9">
      <w:pPr>
        <w:jc w:val="both"/>
        <w:rPr>
          <w:rFonts w:ascii="Bookman Old Style" w:hAnsi="Bookman Old Style"/>
          <w:i/>
        </w:rPr>
      </w:pPr>
      <w:r w:rsidRPr="001C4745">
        <w:rPr>
          <w:rFonts w:ascii="Bookman Old Style" w:hAnsi="Bookman Old Style"/>
        </w:rPr>
        <w:t xml:space="preserve">Liability for risk of loss </w:t>
      </w:r>
      <w:r w:rsidR="00E66460" w:rsidRPr="001C4745">
        <w:rPr>
          <w:rFonts w:ascii="Bookman Old Style" w:hAnsi="Bookman Old Style"/>
        </w:rPr>
        <w:t xml:space="preserve">of or damage </w:t>
      </w:r>
      <w:r w:rsidRPr="001C4745">
        <w:rPr>
          <w:rFonts w:ascii="Bookman Old Style" w:hAnsi="Bookman Old Style"/>
        </w:rPr>
        <w:t>to bailed goods can</w:t>
      </w:r>
      <w:r w:rsidR="00000475" w:rsidRPr="001C4745">
        <w:rPr>
          <w:rFonts w:ascii="Bookman Old Style" w:hAnsi="Bookman Old Style"/>
        </w:rPr>
        <w:t xml:space="preserve"> </w:t>
      </w:r>
      <w:r w:rsidRPr="001C4745">
        <w:rPr>
          <w:rFonts w:ascii="Bookman Old Style" w:hAnsi="Bookman Old Style"/>
        </w:rPr>
        <w:t>be allocated as the parties chose</w:t>
      </w:r>
      <w:r w:rsidR="00685094" w:rsidRPr="001C4745">
        <w:rPr>
          <w:rFonts w:ascii="Bookman Old Style" w:hAnsi="Bookman Old Style"/>
        </w:rPr>
        <w:t>,</w:t>
      </w:r>
      <w:r w:rsidRPr="001C4745">
        <w:rPr>
          <w:rFonts w:ascii="Bookman Old Style" w:hAnsi="Bookman Old Style"/>
        </w:rPr>
        <w:t xml:space="preserve"> so long as the agreement is not unconscionable. </w:t>
      </w:r>
      <w:r w:rsidR="00785166" w:rsidRPr="001C4745">
        <w:rPr>
          <w:rFonts w:ascii="Bookman Old Style" w:hAnsi="Bookman Old Style"/>
          <w:i/>
        </w:rPr>
        <w:t>See</w:t>
      </w:r>
      <w:r w:rsidR="00785166" w:rsidRPr="001C4745">
        <w:rPr>
          <w:rFonts w:ascii="Bookman Old Style" w:hAnsi="Bookman Old Style"/>
        </w:rPr>
        <w:t xml:space="preserve"> </w:t>
      </w:r>
      <w:r w:rsidR="00785166" w:rsidRPr="001C4745">
        <w:rPr>
          <w:rFonts w:ascii="Bookman Old Style" w:hAnsi="Bookman Old Style"/>
          <w:i/>
        </w:rPr>
        <w:t>Gillen v. Holland</w:t>
      </w:r>
      <w:r w:rsidR="00685094" w:rsidRPr="001C4745">
        <w:rPr>
          <w:rFonts w:ascii="Bookman Old Style" w:hAnsi="Bookman Old Style"/>
        </w:rPr>
        <w:t>, 797 P.2d 646, 649-</w:t>
      </w:r>
      <w:r w:rsidR="00785166" w:rsidRPr="001C4745">
        <w:rPr>
          <w:rFonts w:ascii="Bookman Old Style" w:hAnsi="Bookman Old Style"/>
        </w:rPr>
        <w:t>50 (Alaska</w:t>
      </w:r>
      <w:r w:rsidR="00BB563E" w:rsidRPr="001C4745">
        <w:rPr>
          <w:rFonts w:ascii="Bookman Old Style" w:hAnsi="Bookman Old Style"/>
        </w:rPr>
        <w:t xml:space="preserve"> </w:t>
      </w:r>
      <w:r w:rsidR="00785166" w:rsidRPr="001C4745">
        <w:rPr>
          <w:rFonts w:ascii="Bookman Old Style" w:hAnsi="Bookman Old Style"/>
        </w:rPr>
        <w:t>1990)</w:t>
      </w:r>
      <w:r w:rsidR="00BB563E" w:rsidRPr="001C4745">
        <w:rPr>
          <w:rFonts w:ascii="Bookman Old Style" w:hAnsi="Bookman Old Style"/>
        </w:rPr>
        <w:t>(bailee liable for loss of property where it agreed to procure insurance to cover risk of loss</w:t>
      </w:r>
      <w:r w:rsidR="002A037D" w:rsidRPr="001C4745">
        <w:rPr>
          <w:rFonts w:ascii="Bookman Old Style" w:hAnsi="Bookman Old Style"/>
        </w:rPr>
        <w:t xml:space="preserve"> for mutual benefit of bailor and bailee</w:t>
      </w:r>
      <w:r w:rsidR="00BB563E" w:rsidRPr="001C4745">
        <w:rPr>
          <w:rFonts w:ascii="Bookman Old Style" w:hAnsi="Bookman Old Style"/>
        </w:rPr>
        <w:t>)</w:t>
      </w:r>
      <w:r w:rsidR="00785166" w:rsidRPr="001C4745">
        <w:rPr>
          <w:rFonts w:ascii="Bookman Old Style" w:hAnsi="Bookman Old Style"/>
          <w:i/>
        </w:rPr>
        <w:t xml:space="preserve">; Dresser Industries, </w:t>
      </w:r>
      <w:r w:rsidRPr="001C4745">
        <w:rPr>
          <w:rFonts w:ascii="Bookman Old Style" w:hAnsi="Bookman Old Style"/>
          <w:i/>
        </w:rPr>
        <w:t>Inc. v. Foss Launch &amp; Tug Co.</w:t>
      </w:r>
      <w:r w:rsidRPr="001C4745">
        <w:rPr>
          <w:rFonts w:ascii="Bookman Old Style" w:hAnsi="Bookman Old Style"/>
        </w:rPr>
        <w:t>, 560 P.2d 393, 395 (Alaska 1977)</w:t>
      </w:r>
      <w:r w:rsidR="002A037D" w:rsidRPr="001C4745">
        <w:rPr>
          <w:rFonts w:ascii="Bookman Old Style" w:hAnsi="Bookman Old Style"/>
        </w:rPr>
        <w:t xml:space="preserve">(bailee remains liable for damage to bailed goods even </w:t>
      </w:r>
      <w:r w:rsidR="002A037D" w:rsidRPr="001C4745">
        <w:rPr>
          <w:rFonts w:ascii="Bookman Old Style" w:hAnsi="Bookman Old Style"/>
        </w:rPr>
        <w:lastRenderedPageBreak/>
        <w:t>though contract required bailor to obtain insurance because it did not specifically require insurance against bailee’s own negligence)</w:t>
      </w:r>
      <w:r w:rsidR="00785166" w:rsidRPr="001C4745">
        <w:rPr>
          <w:rFonts w:ascii="Bookman Old Style" w:hAnsi="Bookman Old Style"/>
        </w:rPr>
        <w:t>.</w:t>
      </w:r>
      <w:r w:rsidRPr="001C4745">
        <w:rPr>
          <w:rFonts w:ascii="Bookman Old Style" w:hAnsi="Bookman Old Style"/>
        </w:rPr>
        <w:t xml:space="preserve"> </w:t>
      </w:r>
      <w:r w:rsidR="00687763" w:rsidRPr="001C4745">
        <w:rPr>
          <w:rFonts w:ascii="Bookman Old Style" w:hAnsi="Bookman Old Style"/>
        </w:rPr>
        <w:t>The first</w:t>
      </w:r>
      <w:r w:rsidR="00B13428" w:rsidRPr="001C4745">
        <w:rPr>
          <w:rFonts w:ascii="Bookman Old Style" w:hAnsi="Bookman Old Style"/>
        </w:rPr>
        <w:t xml:space="preserve"> bracketed </w:t>
      </w:r>
      <w:r w:rsidR="00070CF5" w:rsidRPr="001C4745">
        <w:rPr>
          <w:rFonts w:ascii="Bookman Old Style" w:hAnsi="Bookman Old Style"/>
        </w:rPr>
        <w:t xml:space="preserve">paragraph </w:t>
      </w:r>
      <w:r w:rsidR="00687763" w:rsidRPr="001C4745">
        <w:rPr>
          <w:rFonts w:ascii="Bookman Old Style" w:hAnsi="Bookman Old Style"/>
        </w:rPr>
        <w:t xml:space="preserve">recognizes that where </w:t>
      </w:r>
      <w:r w:rsidRPr="001C4745">
        <w:rPr>
          <w:rFonts w:ascii="Bookman Old Style" w:hAnsi="Bookman Old Style"/>
        </w:rPr>
        <w:t xml:space="preserve">a </w:t>
      </w:r>
      <w:r w:rsidR="00096CB0" w:rsidRPr="001C4745">
        <w:rPr>
          <w:rFonts w:ascii="Bookman Old Style" w:hAnsi="Bookman Old Style"/>
        </w:rPr>
        <w:t>p</w:t>
      </w:r>
      <w:r w:rsidR="00687763" w:rsidRPr="001C4745">
        <w:rPr>
          <w:rFonts w:ascii="Bookman Old Style" w:hAnsi="Bookman Old Style"/>
        </w:rPr>
        <w:t xml:space="preserve">laintiff agrees </w:t>
      </w:r>
      <w:r w:rsidR="00E66460" w:rsidRPr="001C4745">
        <w:rPr>
          <w:rFonts w:ascii="Bookman Old Style" w:hAnsi="Bookman Old Style"/>
        </w:rPr>
        <w:t xml:space="preserve">to procure </w:t>
      </w:r>
      <w:r w:rsidRPr="001C4745">
        <w:rPr>
          <w:rFonts w:ascii="Bookman Old Style" w:hAnsi="Bookman Old Style"/>
        </w:rPr>
        <w:t xml:space="preserve">insurance </w:t>
      </w:r>
      <w:r w:rsidR="00E66460" w:rsidRPr="001C4745">
        <w:rPr>
          <w:rFonts w:ascii="Bookman Old Style" w:hAnsi="Bookman Old Style"/>
        </w:rPr>
        <w:t xml:space="preserve">to cover the risk of loss </w:t>
      </w:r>
      <w:r w:rsidRPr="001C4745">
        <w:rPr>
          <w:rFonts w:ascii="Bookman Old Style" w:hAnsi="Bookman Old Style"/>
        </w:rPr>
        <w:t>for</w:t>
      </w:r>
      <w:r w:rsidR="0029314A" w:rsidRPr="001C4745">
        <w:rPr>
          <w:rFonts w:ascii="Bookman Old Style" w:hAnsi="Bookman Old Style"/>
        </w:rPr>
        <w:t xml:space="preserve"> the mutual benefit of</w:t>
      </w:r>
      <w:r w:rsidRPr="001C4745">
        <w:rPr>
          <w:rFonts w:ascii="Bookman Old Style" w:hAnsi="Bookman Old Style"/>
        </w:rPr>
        <w:t xml:space="preserve"> </w:t>
      </w:r>
      <w:r w:rsidR="0029314A" w:rsidRPr="001C4745">
        <w:rPr>
          <w:rFonts w:ascii="Bookman Old Style" w:hAnsi="Bookman Old Style"/>
        </w:rPr>
        <w:t xml:space="preserve">the </w:t>
      </w:r>
      <w:r w:rsidRPr="001C4745">
        <w:rPr>
          <w:rFonts w:ascii="Bookman Old Style" w:hAnsi="Bookman Old Style"/>
        </w:rPr>
        <w:t>parties, th</w:t>
      </w:r>
      <w:r w:rsidR="00E66460" w:rsidRPr="001C4745">
        <w:rPr>
          <w:rFonts w:ascii="Bookman Old Style" w:hAnsi="Bookman Old Style"/>
        </w:rPr>
        <w:t>at</w:t>
      </w:r>
      <w:r w:rsidR="00687763" w:rsidRPr="001C4745">
        <w:rPr>
          <w:rFonts w:ascii="Bookman Old Style" w:hAnsi="Bookman Old Style"/>
        </w:rPr>
        <w:t xml:space="preserve"> </w:t>
      </w:r>
      <w:r w:rsidRPr="001C4745">
        <w:rPr>
          <w:rFonts w:ascii="Bookman Old Style" w:hAnsi="Bookman Old Style"/>
        </w:rPr>
        <w:t>party becomes responsible for the risk of loss.</w:t>
      </w:r>
      <w:r w:rsidR="00685094" w:rsidRPr="001C4745">
        <w:rPr>
          <w:rFonts w:ascii="Bookman Old Style" w:hAnsi="Bookman Old Style"/>
        </w:rPr>
        <w:t xml:space="preserve"> </w:t>
      </w:r>
      <w:r w:rsidR="00687763" w:rsidRPr="001C4745">
        <w:rPr>
          <w:rFonts w:ascii="Bookman Old Style" w:hAnsi="Bookman Old Style"/>
          <w:i/>
        </w:rPr>
        <w:t>Id.</w:t>
      </w:r>
      <w:r w:rsidR="00BB563E" w:rsidRPr="001C4745">
        <w:rPr>
          <w:rFonts w:ascii="Bookman Old Style" w:hAnsi="Bookman Old Style"/>
          <w:i/>
        </w:rPr>
        <w:t xml:space="preserve">  </w:t>
      </w:r>
    </w:p>
    <w:p w:rsidR="00BB563E" w:rsidRPr="001C4745" w:rsidRDefault="00BB563E" w:rsidP="005356B9">
      <w:pPr>
        <w:jc w:val="both"/>
        <w:rPr>
          <w:rFonts w:ascii="Bookman Old Style" w:hAnsi="Bookman Old Style"/>
          <w:i/>
        </w:rPr>
      </w:pPr>
    </w:p>
    <w:p w:rsidR="00BB563E" w:rsidRPr="001C4745" w:rsidRDefault="00BB563E" w:rsidP="005356B9">
      <w:pPr>
        <w:jc w:val="both"/>
        <w:rPr>
          <w:rFonts w:ascii="Bookman Old Style" w:hAnsi="Bookman Old Style"/>
        </w:rPr>
      </w:pPr>
      <w:r w:rsidRPr="001C4745">
        <w:rPr>
          <w:rFonts w:ascii="Bookman Old Style" w:hAnsi="Bookman Old Style"/>
        </w:rPr>
        <w:t xml:space="preserve">The second bracketed paragraph provides that </w:t>
      </w:r>
      <w:r w:rsidR="003A3D5B" w:rsidRPr="001C4745">
        <w:rPr>
          <w:rFonts w:ascii="Bookman Old Style" w:hAnsi="Bookman Old Style"/>
        </w:rPr>
        <w:t xml:space="preserve">the bailor and bailee may allocate responsibility between them for loss or damage to the </w:t>
      </w:r>
      <w:r w:rsidR="0043433C" w:rsidRPr="001C4745">
        <w:rPr>
          <w:rFonts w:ascii="Bookman Old Style" w:hAnsi="Bookman Old Style"/>
        </w:rPr>
        <w:t xml:space="preserve">bailed </w:t>
      </w:r>
      <w:r w:rsidR="003A3D5B" w:rsidRPr="001C4745">
        <w:rPr>
          <w:rFonts w:ascii="Bookman Old Style" w:hAnsi="Bookman Old Style"/>
        </w:rPr>
        <w:t>property by contract.</w:t>
      </w:r>
      <w:r w:rsidR="00B917E6" w:rsidRPr="001C4745">
        <w:rPr>
          <w:rFonts w:ascii="Bookman Old Style" w:hAnsi="Bookman Old Style"/>
        </w:rPr>
        <w:t xml:space="preserve"> </w:t>
      </w:r>
      <w:r w:rsidR="003A3D5B" w:rsidRPr="001C4745">
        <w:rPr>
          <w:rFonts w:ascii="Bookman Old Style" w:hAnsi="Bookman Old Style"/>
          <w:i/>
        </w:rPr>
        <w:t>See</w:t>
      </w:r>
      <w:r w:rsidR="003A3D5B" w:rsidRPr="001C4745">
        <w:rPr>
          <w:rFonts w:ascii="Bookman Old Style" w:hAnsi="Bookman Old Style"/>
        </w:rPr>
        <w:t xml:space="preserve"> </w:t>
      </w:r>
      <w:r w:rsidRPr="001C4745">
        <w:rPr>
          <w:rFonts w:ascii="Bookman Old Style" w:hAnsi="Bookman Old Style"/>
          <w:i/>
        </w:rPr>
        <w:t>C.J.M. Const., Inc. v. Chandler Plumbing &amp; Heating, Inc</w:t>
      </w:r>
      <w:r w:rsidRPr="001C4745">
        <w:rPr>
          <w:rFonts w:ascii="Bookman Old Style" w:hAnsi="Bookman Old Style"/>
        </w:rPr>
        <w:t>., 708 P.2d 60</w:t>
      </w:r>
      <w:r w:rsidR="00070CF5" w:rsidRPr="001C4745">
        <w:rPr>
          <w:rFonts w:ascii="Bookman Old Style" w:hAnsi="Bookman Old Style"/>
        </w:rPr>
        <w:t>, 63</w:t>
      </w:r>
      <w:r w:rsidRPr="001C4745">
        <w:rPr>
          <w:rFonts w:ascii="Bookman Old Style" w:hAnsi="Bookman Old Style"/>
        </w:rPr>
        <w:t xml:space="preserve"> (Alaska 1985)</w:t>
      </w:r>
      <w:r w:rsidR="003A3D5B" w:rsidRPr="001C4745">
        <w:rPr>
          <w:rFonts w:ascii="Bookman Old Style" w:hAnsi="Bookman Old Style"/>
        </w:rPr>
        <w:t xml:space="preserve">; </w:t>
      </w:r>
      <w:r w:rsidR="003A3D5B" w:rsidRPr="001C4745">
        <w:rPr>
          <w:rFonts w:ascii="Bookman Old Style" w:hAnsi="Bookman Old Style"/>
          <w:i/>
        </w:rPr>
        <w:t>Dresser Industries, Inc</w:t>
      </w:r>
      <w:r w:rsidR="00070CF5" w:rsidRPr="001C4745">
        <w:rPr>
          <w:rFonts w:ascii="Bookman Old Style" w:hAnsi="Bookman Old Style"/>
          <w:i/>
        </w:rPr>
        <w:t>.</w:t>
      </w:r>
      <w:r w:rsidR="003A3D5B" w:rsidRPr="001C4745">
        <w:rPr>
          <w:rFonts w:ascii="Bookman Old Style" w:hAnsi="Bookman Old Style"/>
          <w:i/>
        </w:rPr>
        <w:t xml:space="preserve">, </w:t>
      </w:r>
      <w:r w:rsidR="003A3D5B" w:rsidRPr="001C4745">
        <w:rPr>
          <w:rFonts w:ascii="Bookman Old Style" w:hAnsi="Bookman Old Style"/>
        </w:rPr>
        <w:t>560 P.2d at 395</w:t>
      </w:r>
      <w:r w:rsidR="00B917E6" w:rsidRPr="001C4745">
        <w:rPr>
          <w:rFonts w:ascii="Bookman Old Style" w:hAnsi="Bookman Old Style"/>
        </w:rPr>
        <w:t>.</w:t>
      </w:r>
    </w:p>
    <w:p w:rsidR="00FB2320" w:rsidRPr="001C4745" w:rsidRDefault="00FB2320" w:rsidP="00750DAA">
      <w:pPr>
        <w:jc w:val="both"/>
        <w:rPr>
          <w:rFonts w:ascii="Bookman Old Style" w:hAnsi="Bookman Old Style"/>
        </w:rPr>
      </w:pPr>
    </w:p>
    <w:p w:rsidR="00FB2320" w:rsidRPr="001C4745" w:rsidRDefault="00207319" w:rsidP="00750DAA">
      <w:pPr>
        <w:jc w:val="both"/>
        <w:rPr>
          <w:rFonts w:ascii="Bookman Old Style" w:hAnsi="Bookman Old Style"/>
        </w:rPr>
      </w:pPr>
      <w:r w:rsidRPr="001C4745">
        <w:rPr>
          <w:rFonts w:ascii="Bookman Old Style" w:hAnsi="Bookman Old Style"/>
        </w:rPr>
        <w:t xml:space="preserve">A bailee is not liable for loss of bailed property when the property was turned over </w:t>
      </w:r>
      <w:r w:rsidR="002A5942" w:rsidRPr="001C4745">
        <w:rPr>
          <w:rFonts w:ascii="Bookman Old Style" w:hAnsi="Bookman Old Style"/>
        </w:rPr>
        <w:t xml:space="preserve">on demand of or seized by a </w:t>
      </w:r>
      <w:r w:rsidRPr="001C4745">
        <w:rPr>
          <w:rFonts w:ascii="Bookman Old Style" w:hAnsi="Bookman Old Style"/>
        </w:rPr>
        <w:t xml:space="preserve">law enforcement officer.  </w:t>
      </w:r>
      <w:r w:rsidRPr="001C4745">
        <w:rPr>
          <w:rFonts w:ascii="Bookman Old Style" w:hAnsi="Bookman Old Style"/>
          <w:i/>
        </w:rPr>
        <w:t>Thompson v. Anderson</w:t>
      </w:r>
      <w:r w:rsidRPr="001C4745">
        <w:rPr>
          <w:rFonts w:ascii="Bookman Old Style" w:hAnsi="Bookman Old Style"/>
        </w:rPr>
        <w:t xml:space="preserve">, 824 P.2d 712, </w:t>
      </w:r>
      <w:r w:rsidR="002A5942" w:rsidRPr="001C4745">
        <w:rPr>
          <w:rFonts w:ascii="Bookman Old Style" w:hAnsi="Bookman Old Style"/>
        </w:rPr>
        <w:t>715</w:t>
      </w:r>
      <w:r w:rsidRPr="001C4745">
        <w:rPr>
          <w:rFonts w:ascii="Bookman Old Style" w:hAnsi="Bookman Old Style"/>
        </w:rPr>
        <w:t xml:space="preserve"> (Alaska 1992)</w:t>
      </w:r>
      <w:r w:rsidR="004B5D55" w:rsidRPr="001C4745">
        <w:rPr>
          <w:rFonts w:ascii="Bookman Old Style" w:hAnsi="Bookman Old Style"/>
        </w:rPr>
        <w:t>(postal worker not liable for package seized by police officer in response to worker’s tip)</w:t>
      </w:r>
      <w:r w:rsidR="00B13428" w:rsidRPr="001C4745">
        <w:rPr>
          <w:rFonts w:ascii="Bookman Old Style" w:hAnsi="Bookman Old Style"/>
        </w:rPr>
        <w:t xml:space="preserve">.  The </w:t>
      </w:r>
      <w:r w:rsidR="002A037D" w:rsidRPr="001C4745">
        <w:rPr>
          <w:rFonts w:ascii="Bookman Old Style" w:hAnsi="Bookman Old Style"/>
        </w:rPr>
        <w:t>third</w:t>
      </w:r>
      <w:r w:rsidR="00B13428" w:rsidRPr="001C4745">
        <w:rPr>
          <w:rFonts w:ascii="Bookman Old Style" w:hAnsi="Bookman Old Style"/>
        </w:rPr>
        <w:t xml:space="preserve"> bracketed provision provides for this defense. </w:t>
      </w:r>
    </w:p>
    <w:p w:rsidR="00701F9A" w:rsidRPr="001C4745" w:rsidRDefault="00701F9A" w:rsidP="00750DAA">
      <w:pPr>
        <w:jc w:val="both"/>
        <w:rPr>
          <w:rFonts w:ascii="Bookman Old Style" w:hAnsi="Bookman Old Style"/>
        </w:rPr>
      </w:pPr>
    </w:p>
    <w:p w:rsidR="00701F9A" w:rsidRPr="001C4745" w:rsidRDefault="00111020" w:rsidP="00750DAA">
      <w:pPr>
        <w:jc w:val="both"/>
        <w:rPr>
          <w:rFonts w:ascii="Bookman Old Style" w:hAnsi="Bookman Old Style"/>
        </w:rPr>
      </w:pPr>
      <w:r w:rsidRPr="001C4745">
        <w:rPr>
          <w:rFonts w:ascii="Bookman Old Style" w:hAnsi="Bookman Old Style"/>
        </w:rPr>
        <w:t>When</w:t>
      </w:r>
      <w:r w:rsidR="00071B31" w:rsidRPr="001C4745">
        <w:rPr>
          <w:rFonts w:ascii="Bookman Old Style" w:hAnsi="Bookman Old Style"/>
        </w:rPr>
        <w:t xml:space="preserve"> property is bailed for use in a business</w:t>
      </w:r>
      <w:r w:rsidR="00E66460" w:rsidRPr="001C4745">
        <w:rPr>
          <w:rFonts w:ascii="Bookman Old Style" w:hAnsi="Bookman Old Style"/>
        </w:rPr>
        <w:t>,</w:t>
      </w:r>
      <w:r w:rsidR="000D0604" w:rsidRPr="001C4745">
        <w:rPr>
          <w:rFonts w:ascii="Bookman Old Style" w:hAnsi="Bookman Old Style"/>
        </w:rPr>
        <w:t xml:space="preserve"> where it will be subject to normal wear and tear, the bailee is not liable for </w:t>
      </w:r>
      <w:r w:rsidR="003A3D5B" w:rsidRPr="001C4745">
        <w:rPr>
          <w:rFonts w:ascii="Bookman Old Style" w:hAnsi="Bookman Old Style"/>
        </w:rPr>
        <w:t xml:space="preserve">loss or </w:t>
      </w:r>
      <w:r w:rsidR="000D0604" w:rsidRPr="001C4745">
        <w:rPr>
          <w:rFonts w:ascii="Bookman Old Style" w:hAnsi="Bookman Old Style"/>
        </w:rPr>
        <w:t>damage stemming from normal use.</w:t>
      </w:r>
      <w:r w:rsidR="00B917E6" w:rsidRPr="001C4745">
        <w:rPr>
          <w:rFonts w:ascii="Bookman Old Style" w:hAnsi="Bookman Old Style"/>
        </w:rPr>
        <w:t xml:space="preserve"> </w:t>
      </w:r>
      <w:r w:rsidR="000D0604" w:rsidRPr="001C4745">
        <w:rPr>
          <w:rFonts w:ascii="Bookman Old Style" w:hAnsi="Bookman Old Style"/>
          <w:i/>
        </w:rPr>
        <w:t>Burgess Const. Co. v. Hancock</w:t>
      </w:r>
      <w:r w:rsidR="000D0604" w:rsidRPr="001C4745">
        <w:rPr>
          <w:rFonts w:ascii="Bookman Old Style" w:hAnsi="Bookman Old Style"/>
        </w:rPr>
        <w:t xml:space="preserve">, 514 P.2d 236, 240 n.17 (Alaska 1973).  The fourth </w:t>
      </w:r>
      <w:r w:rsidR="00070CF5" w:rsidRPr="001C4745">
        <w:rPr>
          <w:rFonts w:ascii="Bookman Old Style" w:hAnsi="Bookman Old Style"/>
        </w:rPr>
        <w:t xml:space="preserve">bracketed </w:t>
      </w:r>
      <w:r w:rsidR="000D0604" w:rsidRPr="001C4745">
        <w:rPr>
          <w:rFonts w:ascii="Bookman Old Style" w:hAnsi="Bookman Old Style"/>
        </w:rPr>
        <w:t xml:space="preserve">paragraph provides for this defense. </w:t>
      </w:r>
    </w:p>
    <w:p w:rsidR="00D733A8" w:rsidRPr="001C4745" w:rsidRDefault="00D733A8" w:rsidP="00750DAA">
      <w:pPr>
        <w:jc w:val="both"/>
        <w:rPr>
          <w:rFonts w:ascii="Bookman Old Style" w:hAnsi="Bookman Old Style"/>
        </w:rPr>
      </w:pPr>
    </w:p>
    <w:p w:rsidR="0099779D" w:rsidRPr="001C4745" w:rsidRDefault="0099779D" w:rsidP="00750DAA">
      <w:pPr>
        <w:jc w:val="both"/>
        <w:rPr>
          <w:rFonts w:ascii="Bookman Old Style" w:hAnsi="Bookman Old Style"/>
        </w:rPr>
      </w:pPr>
    </w:p>
    <w:sectPr w:rsidR="0099779D" w:rsidRPr="001C4745" w:rsidSect="009A76C7">
      <w:footerReference w:type="default" r:id="rId7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904" w:rsidRDefault="00C86904">
      <w:r>
        <w:separator/>
      </w:r>
    </w:p>
  </w:endnote>
  <w:endnote w:type="continuationSeparator" w:id="0">
    <w:p w:rsidR="00C86904" w:rsidRDefault="00C8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7F3" w:rsidRPr="001C4745" w:rsidRDefault="000A2C20" w:rsidP="00E31EE2">
    <w:pPr>
      <w:pStyle w:val="Footer"/>
      <w:tabs>
        <w:tab w:val="clear" w:pos="8640"/>
        <w:tab w:val="right" w:pos="9360"/>
      </w:tabs>
      <w:rPr>
        <w:rFonts w:ascii="Bookman Old Style" w:hAnsi="Bookman Old Style"/>
        <w:sz w:val="22"/>
        <w:szCs w:val="22"/>
      </w:rPr>
    </w:pPr>
    <w:r w:rsidRPr="001C4745">
      <w:rPr>
        <w:rFonts w:ascii="Bookman Old Style" w:hAnsi="Bookman Old Style"/>
        <w:sz w:val="22"/>
        <w:szCs w:val="22"/>
      </w:rPr>
      <w:t>20</w:t>
    </w:r>
    <w:r w:rsidR="0081243D" w:rsidRPr="001C4745">
      <w:rPr>
        <w:rFonts w:ascii="Bookman Old Style" w:hAnsi="Bookman Old Style"/>
        <w:sz w:val="22"/>
        <w:szCs w:val="22"/>
      </w:rPr>
      <w:t>15</w:t>
    </w:r>
    <w:r w:rsidR="00C207F3" w:rsidRPr="001C4745">
      <w:rPr>
        <w:rFonts w:ascii="Bookman Old Style" w:hAnsi="Bookman Old Style"/>
        <w:sz w:val="22"/>
        <w:szCs w:val="22"/>
      </w:rPr>
      <w:tab/>
    </w:r>
    <w:r w:rsidR="00C207F3" w:rsidRPr="001C4745">
      <w:rPr>
        <w:rFonts w:ascii="Bookman Old Style" w:hAnsi="Bookman Old Style"/>
        <w:sz w:val="22"/>
        <w:szCs w:val="22"/>
      </w:rPr>
      <w:tab/>
    </w:r>
    <w:r w:rsidR="0066764B" w:rsidRPr="001C4745">
      <w:rPr>
        <w:rFonts w:ascii="Bookman Old Style" w:hAnsi="Bookman Old Style"/>
        <w:sz w:val="22"/>
        <w:szCs w:val="22"/>
      </w:rPr>
      <w:t>21.04</w:t>
    </w:r>
    <w:r w:rsidR="00C207F3" w:rsidRPr="001C4745">
      <w:rPr>
        <w:rFonts w:ascii="Bookman Old Style" w:hAnsi="Bookman Old Style"/>
        <w:sz w:val="22"/>
        <w:szCs w:val="22"/>
      </w:rPr>
      <w:t xml:space="preserve"> - </w:t>
    </w:r>
    <w:r w:rsidR="001C4745" w:rsidRPr="001C4745">
      <w:rPr>
        <w:rStyle w:val="PageNumber"/>
        <w:rFonts w:ascii="Bookman Old Style" w:hAnsi="Bookman Old Style"/>
        <w:sz w:val="22"/>
        <w:szCs w:val="22"/>
      </w:rPr>
      <w:t xml:space="preserve">Page </w:t>
    </w:r>
    <w:r w:rsidR="001C4745" w:rsidRPr="001C4745">
      <w:rPr>
        <w:rStyle w:val="PageNumber"/>
        <w:rFonts w:ascii="Bookman Old Style" w:hAnsi="Bookman Old Style"/>
        <w:sz w:val="22"/>
        <w:szCs w:val="22"/>
      </w:rPr>
      <w:fldChar w:fldCharType="begin"/>
    </w:r>
    <w:r w:rsidR="001C4745" w:rsidRPr="001C4745">
      <w:rPr>
        <w:rStyle w:val="PageNumber"/>
        <w:rFonts w:ascii="Bookman Old Style" w:hAnsi="Bookman Old Style"/>
        <w:sz w:val="22"/>
        <w:szCs w:val="22"/>
      </w:rPr>
      <w:instrText xml:space="preserve"> PAGE  \* Arabic  \* MERGEFORMAT </w:instrText>
    </w:r>
    <w:r w:rsidR="001C4745" w:rsidRPr="001C4745">
      <w:rPr>
        <w:rStyle w:val="PageNumber"/>
        <w:rFonts w:ascii="Bookman Old Style" w:hAnsi="Bookman Old Style"/>
        <w:sz w:val="22"/>
        <w:szCs w:val="22"/>
      </w:rPr>
      <w:fldChar w:fldCharType="separate"/>
    </w:r>
    <w:r w:rsidR="003A6245">
      <w:rPr>
        <w:rStyle w:val="PageNumber"/>
        <w:rFonts w:ascii="Bookman Old Style" w:hAnsi="Bookman Old Style"/>
        <w:noProof/>
        <w:sz w:val="22"/>
        <w:szCs w:val="22"/>
      </w:rPr>
      <w:t>1</w:t>
    </w:r>
    <w:r w:rsidR="001C4745" w:rsidRPr="001C4745">
      <w:rPr>
        <w:rStyle w:val="PageNumber"/>
        <w:rFonts w:ascii="Bookman Old Style" w:hAnsi="Bookman Old Style"/>
        <w:sz w:val="22"/>
        <w:szCs w:val="22"/>
      </w:rPr>
      <w:fldChar w:fldCharType="end"/>
    </w:r>
    <w:r w:rsidR="001C4745" w:rsidRPr="001C4745">
      <w:rPr>
        <w:rStyle w:val="PageNumber"/>
        <w:rFonts w:ascii="Bookman Old Style" w:hAnsi="Bookman Old Style"/>
        <w:sz w:val="22"/>
        <w:szCs w:val="22"/>
      </w:rPr>
      <w:t xml:space="preserve"> of </w:t>
    </w:r>
    <w:r w:rsidR="001C4745" w:rsidRPr="001C4745">
      <w:rPr>
        <w:rStyle w:val="PageNumber"/>
        <w:rFonts w:ascii="Bookman Old Style" w:hAnsi="Bookman Old Style"/>
        <w:sz w:val="22"/>
        <w:szCs w:val="22"/>
      </w:rPr>
      <w:fldChar w:fldCharType="begin"/>
    </w:r>
    <w:r w:rsidR="001C4745" w:rsidRPr="001C4745">
      <w:rPr>
        <w:rStyle w:val="PageNumber"/>
        <w:rFonts w:ascii="Bookman Old Style" w:hAnsi="Bookman Old Style"/>
        <w:sz w:val="22"/>
        <w:szCs w:val="22"/>
      </w:rPr>
      <w:instrText xml:space="preserve"> NUMPAGES  \* Arabic  \* MERGEFORMAT </w:instrText>
    </w:r>
    <w:r w:rsidR="001C4745" w:rsidRPr="001C4745">
      <w:rPr>
        <w:rStyle w:val="PageNumber"/>
        <w:rFonts w:ascii="Bookman Old Style" w:hAnsi="Bookman Old Style"/>
        <w:sz w:val="22"/>
        <w:szCs w:val="22"/>
      </w:rPr>
      <w:fldChar w:fldCharType="separate"/>
    </w:r>
    <w:r w:rsidR="003A6245">
      <w:rPr>
        <w:rStyle w:val="PageNumber"/>
        <w:rFonts w:ascii="Bookman Old Style" w:hAnsi="Bookman Old Style"/>
        <w:noProof/>
        <w:sz w:val="22"/>
        <w:szCs w:val="22"/>
      </w:rPr>
      <w:t>2</w:t>
    </w:r>
    <w:r w:rsidR="001C4745" w:rsidRPr="001C4745">
      <w:rPr>
        <w:rStyle w:val="PageNumber"/>
        <w:rFonts w:ascii="Bookman Old Style" w:hAnsi="Bookman Old Style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904" w:rsidRDefault="00C86904">
      <w:r>
        <w:separator/>
      </w:r>
    </w:p>
  </w:footnote>
  <w:footnote w:type="continuationSeparator" w:id="0">
    <w:p w:rsidR="00C86904" w:rsidRDefault="00C86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D5"/>
    <w:rsid w:val="00000475"/>
    <w:rsid w:val="00014255"/>
    <w:rsid w:val="000169BF"/>
    <w:rsid w:val="000360AD"/>
    <w:rsid w:val="0004161B"/>
    <w:rsid w:val="00042537"/>
    <w:rsid w:val="00042B97"/>
    <w:rsid w:val="00062908"/>
    <w:rsid w:val="00070CF5"/>
    <w:rsid w:val="00071B31"/>
    <w:rsid w:val="00096CB0"/>
    <w:rsid w:val="000A2C20"/>
    <w:rsid w:val="000B58E2"/>
    <w:rsid w:val="000B7DEF"/>
    <w:rsid w:val="000D0604"/>
    <w:rsid w:val="000D3807"/>
    <w:rsid w:val="000E3AF4"/>
    <w:rsid w:val="000F2334"/>
    <w:rsid w:val="00111020"/>
    <w:rsid w:val="001164DF"/>
    <w:rsid w:val="0011660D"/>
    <w:rsid w:val="00136EF9"/>
    <w:rsid w:val="00142535"/>
    <w:rsid w:val="0014331D"/>
    <w:rsid w:val="0015129B"/>
    <w:rsid w:val="001567B9"/>
    <w:rsid w:val="001576E3"/>
    <w:rsid w:val="00197A39"/>
    <w:rsid w:val="001A3D3F"/>
    <w:rsid w:val="001A562B"/>
    <w:rsid w:val="001B0FEB"/>
    <w:rsid w:val="001C4745"/>
    <w:rsid w:val="001D0D0B"/>
    <w:rsid w:val="00202B3D"/>
    <w:rsid w:val="00207319"/>
    <w:rsid w:val="0022109E"/>
    <w:rsid w:val="0023398F"/>
    <w:rsid w:val="00244656"/>
    <w:rsid w:val="00264E38"/>
    <w:rsid w:val="00275C57"/>
    <w:rsid w:val="00284881"/>
    <w:rsid w:val="0029314A"/>
    <w:rsid w:val="002A037D"/>
    <w:rsid w:val="002A12A6"/>
    <w:rsid w:val="002A33D3"/>
    <w:rsid w:val="002A5942"/>
    <w:rsid w:val="002B213F"/>
    <w:rsid w:val="002C213B"/>
    <w:rsid w:val="002D5698"/>
    <w:rsid w:val="002D5EC3"/>
    <w:rsid w:val="002D671F"/>
    <w:rsid w:val="002E2C13"/>
    <w:rsid w:val="002F33FA"/>
    <w:rsid w:val="002F6059"/>
    <w:rsid w:val="002F6DBB"/>
    <w:rsid w:val="00300A70"/>
    <w:rsid w:val="0032716A"/>
    <w:rsid w:val="00331D03"/>
    <w:rsid w:val="003506D5"/>
    <w:rsid w:val="0036171F"/>
    <w:rsid w:val="003746A1"/>
    <w:rsid w:val="00385580"/>
    <w:rsid w:val="003A3D5B"/>
    <w:rsid w:val="003A6245"/>
    <w:rsid w:val="003A67E1"/>
    <w:rsid w:val="003E0836"/>
    <w:rsid w:val="00415217"/>
    <w:rsid w:val="00431BDA"/>
    <w:rsid w:val="0043433C"/>
    <w:rsid w:val="0044013B"/>
    <w:rsid w:val="00456F51"/>
    <w:rsid w:val="004638F7"/>
    <w:rsid w:val="00463993"/>
    <w:rsid w:val="0046638D"/>
    <w:rsid w:val="00473B9C"/>
    <w:rsid w:val="00482A62"/>
    <w:rsid w:val="00490233"/>
    <w:rsid w:val="004902F7"/>
    <w:rsid w:val="004A0EC6"/>
    <w:rsid w:val="004A79D1"/>
    <w:rsid w:val="004A7EDB"/>
    <w:rsid w:val="004B5D55"/>
    <w:rsid w:val="004D03D0"/>
    <w:rsid w:val="004D7445"/>
    <w:rsid w:val="004E39F7"/>
    <w:rsid w:val="004E3D7C"/>
    <w:rsid w:val="004E3F5B"/>
    <w:rsid w:val="004F4ED2"/>
    <w:rsid w:val="004F5653"/>
    <w:rsid w:val="00517DCA"/>
    <w:rsid w:val="005316DA"/>
    <w:rsid w:val="005353B9"/>
    <w:rsid w:val="005356B9"/>
    <w:rsid w:val="00564F73"/>
    <w:rsid w:val="005718FE"/>
    <w:rsid w:val="005A687E"/>
    <w:rsid w:val="005D4386"/>
    <w:rsid w:val="005F216C"/>
    <w:rsid w:val="006031AA"/>
    <w:rsid w:val="00611C4E"/>
    <w:rsid w:val="0062113B"/>
    <w:rsid w:val="006247A7"/>
    <w:rsid w:val="0064523E"/>
    <w:rsid w:val="00651DDF"/>
    <w:rsid w:val="00664375"/>
    <w:rsid w:val="0066764B"/>
    <w:rsid w:val="00685094"/>
    <w:rsid w:val="0068629E"/>
    <w:rsid w:val="00687763"/>
    <w:rsid w:val="006B3019"/>
    <w:rsid w:val="006E2A73"/>
    <w:rsid w:val="00701F9A"/>
    <w:rsid w:val="007028F3"/>
    <w:rsid w:val="007426C9"/>
    <w:rsid w:val="00750DAA"/>
    <w:rsid w:val="00785166"/>
    <w:rsid w:val="007A4996"/>
    <w:rsid w:val="007B174D"/>
    <w:rsid w:val="007C4F16"/>
    <w:rsid w:val="007C59DC"/>
    <w:rsid w:val="007D31BE"/>
    <w:rsid w:val="007D589C"/>
    <w:rsid w:val="007E3DE0"/>
    <w:rsid w:val="007F0E1F"/>
    <w:rsid w:val="0080238F"/>
    <w:rsid w:val="008045BC"/>
    <w:rsid w:val="0081060F"/>
    <w:rsid w:val="0081243D"/>
    <w:rsid w:val="008250BA"/>
    <w:rsid w:val="008324DE"/>
    <w:rsid w:val="008348B0"/>
    <w:rsid w:val="008433E6"/>
    <w:rsid w:val="00850794"/>
    <w:rsid w:val="00851282"/>
    <w:rsid w:val="00855FED"/>
    <w:rsid w:val="00875EB0"/>
    <w:rsid w:val="00883EE8"/>
    <w:rsid w:val="0088472B"/>
    <w:rsid w:val="008B3262"/>
    <w:rsid w:val="008B7C8C"/>
    <w:rsid w:val="008C2AEC"/>
    <w:rsid w:val="008C7C8F"/>
    <w:rsid w:val="00922D85"/>
    <w:rsid w:val="00926137"/>
    <w:rsid w:val="00926521"/>
    <w:rsid w:val="00936B89"/>
    <w:rsid w:val="009414A1"/>
    <w:rsid w:val="00941AD1"/>
    <w:rsid w:val="009561C8"/>
    <w:rsid w:val="009639C6"/>
    <w:rsid w:val="009917B9"/>
    <w:rsid w:val="00996ED8"/>
    <w:rsid w:val="0099779D"/>
    <w:rsid w:val="009A76C7"/>
    <w:rsid w:val="009B3454"/>
    <w:rsid w:val="009C6400"/>
    <w:rsid w:val="009D16FE"/>
    <w:rsid w:val="009D28AB"/>
    <w:rsid w:val="009E60C7"/>
    <w:rsid w:val="00A045B5"/>
    <w:rsid w:val="00A07948"/>
    <w:rsid w:val="00A33D70"/>
    <w:rsid w:val="00A372FB"/>
    <w:rsid w:val="00A6286F"/>
    <w:rsid w:val="00A64DC1"/>
    <w:rsid w:val="00A759F0"/>
    <w:rsid w:val="00A82A6E"/>
    <w:rsid w:val="00A85E75"/>
    <w:rsid w:val="00AB2705"/>
    <w:rsid w:val="00AC3C56"/>
    <w:rsid w:val="00AD05D5"/>
    <w:rsid w:val="00AD09A5"/>
    <w:rsid w:val="00AD7B73"/>
    <w:rsid w:val="00AF47A6"/>
    <w:rsid w:val="00B13428"/>
    <w:rsid w:val="00B320EF"/>
    <w:rsid w:val="00B41CAC"/>
    <w:rsid w:val="00B43069"/>
    <w:rsid w:val="00B47451"/>
    <w:rsid w:val="00B54DBE"/>
    <w:rsid w:val="00B64A70"/>
    <w:rsid w:val="00B7413F"/>
    <w:rsid w:val="00B85BB0"/>
    <w:rsid w:val="00B870D5"/>
    <w:rsid w:val="00B8730C"/>
    <w:rsid w:val="00B87644"/>
    <w:rsid w:val="00B917E6"/>
    <w:rsid w:val="00BA5274"/>
    <w:rsid w:val="00BB1BE7"/>
    <w:rsid w:val="00BB563E"/>
    <w:rsid w:val="00BC434F"/>
    <w:rsid w:val="00BE249E"/>
    <w:rsid w:val="00BE60CB"/>
    <w:rsid w:val="00C03627"/>
    <w:rsid w:val="00C07645"/>
    <w:rsid w:val="00C207F3"/>
    <w:rsid w:val="00C32DB3"/>
    <w:rsid w:val="00C46057"/>
    <w:rsid w:val="00C86904"/>
    <w:rsid w:val="00C875DA"/>
    <w:rsid w:val="00CB1442"/>
    <w:rsid w:val="00CC335B"/>
    <w:rsid w:val="00CE0C94"/>
    <w:rsid w:val="00D060F6"/>
    <w:rsid w:val="00D1185E"/>
    <w:rsid w:val="00D1525B"/>
    <w:rsid w:val="00D34FB9"/>
    <w:rsid w:val="00D3512A"/>
    <w:rsid w:val="00D36BF7"/>
    <w:rsid w:val="00D418D5"/>
    <w:rsid w:val="00D6410D"/>
    <w:rsid w:val="00D7206F"/>
    <w:rsid w:val="00D733A8"/>
    <w:rsid w:val="00DA5EE6"/>
    <w:rsid w:val="00DC3DAE"/>
    <w:rsid w:val="00DD768F"/>
    <w:rsid w:val="00DE0A83"/>
    <w:rsid w:val="00DE31A6"/>
    <w:rsid w:val="00DE54B6"/>
    <w:rsid w:val="00DE6FD0"/>
    <w:rsid w:val="00DF15ED"/>
    <w:rsid w:val="00DF40E1"/>
    <w:rsid w:val="00E07D32"/>
    <w:rsid w:val="00E13EEE"/>
    <w:rsid w:val="00E23609"/>
    <w:rsid w:val="00E247A2"/>
    <w:rsid w:val="00E253AD"/>
    <w:rsid w:val="00E31EE2"/>
    <w:rsid w:val="00E43D54"/>
    <w:rsid w:val="00E5055B"/>
    <w:rsid w:val="00E5437B"/>
    <w:rsid w:val="00E66460"/>
    <w:rsid w:val="00E85721"/>
    <w:rsid w:val="00E95062"/>
    <w:rsid w:val="00EA3FF6"/>
    <w:rsid w:val="00EA4BF5"/>
    <w:rsid w:val="00EB634D"/>
    <w:rsid w:val="00EC2B72"/>
    <w:rsid w:val="00ED065B"/>
    <w:rsid w:val="00EE652E"/>
    <w:rsid w:val="00EF1564"/>
    <w:rsid w:val="00F00DB1"/>
    <w:rsid w:val="00F1306F"/>
    <w:rsid w:val="00F17615"/>
    <w:rsid w:val="00F41980"/>
    <w:rsid w:val="00F5388F"/>
    <w:rsid w:val="00F577DD"/>
    <w:rsid w:val="00F57A28"/>
    <w:rsid w:val="00F62B33"/>
    <w:rsid w:val="00F654C7"/>
    <w:rsid w:val="00F67D62"/>
    <w:rsid w:val="00F75907"/>
    <w:rsid w:val="00F954D2"/>
    <w:rsid w:val="00FA1928"/>
    <w:rsid w:val="00FA29C8"/>
    <w:rsid w:val="00FA32C4"/>
    <w:rsid w:val="00FB2320"/>
    <w:rsid w:val="00FD2076"/>
    <w:rsid w:val="00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50D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0D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76C7"/>
  </w:style>
  <w:style w:type="paragraph" w:styleId="BalloonText">
    <w:name w:val="Balloon Text"/>
    <w:basedOn w:val="Normal"/>
    <w:link w:val="BalloonTextChar"/>
    <w:uiPriority w:val="99"/>
    <w:semiHidden/>
    <w:unhideWhenUsed/>
    <w:rsid w:val="00156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67B9"/>
    <w:rPr>
      <w:rFonts w:ascii="Tahoma" w:hAnsi="Tahoma" w:cs="Tahoma"/>
      <w:sz w:val="16"/>
      <w:szCs w:val="16"/>
    </w:rPr>
  </w:style>
  <w:style w:type="paragraph" w:customStyle="1" w:styleId="OmniPage1">
    <w:name w:val="OmniPage #1"/>
    <w:basedOn w:val="Normal"/>
    <w:rsid w:val="001567B9"/>
    <w:pPr>
      <w:spacing w:line="240" w:lineRule="exact"/>
    </w:pPr>
    <w:rPr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50D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0D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76C7"/>
  </w:style>
  <w:style w:type="paragraph" w:styleId="BalloonText">
    <w:name w:val="Balloon Text"/>
    <w:basedOn w:val="Normal"/>
    <w:link w:val="BalloonTextChar"/>
    <w:uiPriority w:val="99"/>
    <w:semiHidden/>
    <w:unhideWhenUsed/>
    <w:rsid w:val="001567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67B9"/>
    <w:rPr>
      <w:rFonts w:ascii="Tahoma" w:hAnsi="Tahoma" w:cs="Tahoma"/>
      <w:sz w:val="16"/>
      <w:szCs w:val="16"/>
    </w:rPr>
  </w:style>
  <w:style w:type="paragraph" w:customStyle="1" w:styleId="OmniPage1">
    <w:name w:val="OmniPage #1"/>
    <w:basedOn w:val="Normal"/>
    <w:rsid w:val="001567B9"/>
    <w:pPr>
      <w:spacing w:line="240" w:lineRule="exact"/>
    </w:pPr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Ingaldson, Maassen, Fitzgerald PC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Maassen</dc:creator>
  <cp:keywords/>
  <cp:lastModifiedBy>Michael Merrington</cp:lastModifiedBy>
  <cp:revision>3</cp:revision>
  <cp:lastPrinted>2015-09-15T20:52:00Z</cp:lastPrinted>
  <dcterms:created xsi:type="dcterms:W3CDTF">2017-04-04T18:51:00Z</dcterms:created>
  <dcterms:modified xsi:type="dcterms:W3CDTF">2017-04-04T18:51:00Z</dcterms:modified>
</cp:coreProperties>
</file>