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F8" w:rsidRPr="00DC70FF" w:rsidRDefault="00217CA4" w:rsidP="00DB6E48">
      <w:pPr>
        <w:spacing w:after="0" w:line="240" w:lineRule="auto"/>
        <w:ind w:left="1440" w:hanging="1440"/>
        <w:rPr>
          <w:rFonts w:ascii="Bookman Old Style" w:hAnsi="Bookman Old Style"/>
          <w:b/>
          <w:sz w:val="26"/>
          <w:szCs w:val="26"/>
        </w:rPr>
      </w:pPr>
      <w:bookmarkStart w:id="0" w:name="_GoBack"/>
      <w:bookmarkEnd w:id="0"/>
      <w:r w:rsidRPr="00DC70FF">
        <w:rPr>
          <w:rFonts w:ascii="Bookman Old Style" w:hAnsi="Bookman Old Style"/>
          <w:b/>
          <w:sz w:val="26"/>
          <w:szCs w:val="26"/>
        </w:rPr>
        <w:t>23.02</w:t>
      </w:r>
      <w:r w:rsidRPr="00DC70FF">
        <w:rPr>
          <w:rFonts w:ascii="Bookman Old Style" w:hAnsi="Bookman Old Style"/>
          <w:b/>
          <w:sz w:val="26"/>
          <w:szCs w:val="26"/>
        </w:rPr>
        <w:tab/>
        <w:t>EMPLOYER LIABILITY – EMPLOYEE – COURSE AND SCOPE OF EMPLOYMENT</w:t>
      </w:r>
    </w:p>
    <w:p w:rsidR="00C26452" w:rsidRPr="00E82FF6" w:rsidRDefault="00C26452" w:rsidP="00815D8D">
      <w:pPr>
        <w:spacing w:after="0" w:line="360" w:lineRule="auto"/>
        <w:rPr>
          <w:rFonts w:ascii="Bookman Old Style" w:hAnsi="Bookman Old Style"/>
          <w:b/>
          <w:sz w:val="28"/>
          <w:szCs w:val="28"/>
        </w:rPr>
      </w:pPr>
    </w:p>
    <w:p w:rsidR="00217CA4" w:rsidRDefault="00217CA4" w:rsidP="00373C4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82FF6">
        <w:rPr>
          <w:rFonts w:ascii="Bookman Old Style" w:hAnsi="Bookman Old Style"/>
          <w:sz w:val="24"/>
          <w:szCs w:val="24"/>
        </w:rPr>
        <w:t>To determine if an employee's condu</w:t>
      </w:r>
      <w:r w:rsidR="0010704C">
        <w:rPr>
          <w:rFonts w:ascii="Bookman Old Style" w:hAnsi="Bookman Old Style"/>
          <w:sz w:val="24"/>
          <w:szCs w:val="24"/>
        </w:rPr>
        <w:t>ct was within the scope of [his][</w:t>
      </w:r>
      <w:r w:rsidRPr="00E82FF6">
        <w:rPr>
          <w:rFonts w:ascii="Bookman Old Style" w:hAnsi="Bookman Old Style"/>
          <w:sz w:val="24"/>
          <w:szCs w:val="24"/>
        </w:rPr>
        <w:t xml:space="preserve">her] employment, you must consider the following factors:  </w:t>
      </w:r>
    </w:p>
    <w:p w:rsidR="00C26452" w:rsidRPr="00E82FF6" w:rsidRDefault="00C26452" w:rsidP="00373C4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17CA4" w:rsidRDefault="00217CA4" w:rsidP="001B4DCB">
      <w:pPr>
        <w:spacing w:after="0" w:line="360" w:lineRule="auto"/>
        <w:ind w:left="720" w:hanging="720"/>
        <w:jc w:val="both"/>
        <w:rPr>
          <w:rFonts w:ascii="Bookman Old Style" w:hAnsi="Bookman Old Style"/>
          <w:sz w:val="24"/>
          <w:szCs w:val="24"/>
        </w:rPr>
      </w:pPr>
      <w:r w:rsidRPr="00E82FF6">
        <w:rPr>
          <w:rFonts w:ascii="Bookman Old Style" w:hAnsi="Bookman Old Style"/>
          <w:sz w:val="24"/>
          <w:szCs w:val="24"/>
        </w:rPr>
        <w:t>(1)</w:t>
      </w:r>
      <w:r w:rsidRPr="00E82FF6">
        <w:rPr>
          <w:rFonts w:ascii="Bookman Old Style" w:hAnsi="Bookman Old Style"/>
          <w:sz w:val="24"/>
          <w:szCs w:val="24"/>
        </w:rPr>
        <w:tab/>
        <w:t>whether the employer expressly authorized the employee's conduct, or the employee's conduct was similar to conduct that the employer authorized, or the employee’s conduct was not a remote or improbable occurrence in connection with authorized conduct;</w:t>
      </w:r>
    </w:p>
    <w:p w:rsidR="00C26452" w:rsidRPr="00E82FF6" w:rsidRDefault="00C26452" w:rsidP="00373C4A">
      <w:pPr>
        <w:spacing w:after="0" w:line="360" w:lineRule="auto"/>
        <w:ind w:left="720" w:hanging="720"/>
        <w:jc w:val="both"/>
        <w:rPr>
          <w:rFonts w:ascii="Bookman Old Style" w:hAnsi="Bookman Old Style"/>
          <w:sz w:val="24"/>
          <w:szCs w:val="24"/>
        </w:rPr>
      </w:pPr>
    </w:p>
    <w:p w:rsidR="00217CA4" w:rsidRDefault="00217CA4" w:rsidP="00373C4A">
      <w:pPr>
        <w:spacing w:after="0" w:line="360" w:lineRule="auto"/>
        <w:ind w:left="720" w:hanging="720"/>
        <w:jc w:val="both"/>
        <w:rPr>
          <w:rFonts w:ascii="Bookman Old Style" w:hAnsi="Bookman Old Style"/>
          <w:sz w:val="24"/>
          <w:szCs w:val="24"/>
        </w:rPr>
      </w:pPr>
      <w:r w:rsidRPr="00E82FF6">
        <w:rPr>
          <w:rFonts w:ascii="Bookman Old Style" w:hAnsi="Bookman Old Style"/>
          <w:sz w:val="24"/>
          <w:szCs w:val="24"/>
        </w:rPr>
        <w:t>(2)</w:t>
      </w:r>
      <w:r w:rsidRPr="00E82FF6">
        <w:rPr>
          <w:rFonts w:ascii="Bookman Old Style" w:hAnsi="Bookman Old Style"/>
          <w:sz w:val="24"/>
          <w:szCs w:val="24"/>
        </w:rPr>
        <w:tab/>
        <w:t>whether the employee's conduct occurred substantially within the time and place authorized by the employer; and</w:t>
      </w:r>
    </w:p>
    <w:p w:rsidR="00C26452" w:rsidRPr="00E82FF6" w:rsidRDefault="00C26452" w:rsidP="00373C4A">
      <w:pPr>
        <w:spacing w:after="0" w:line="360" w:lineRule="auto"/>
        <w:ind w:left="720" w:hanging="720"/>
        <w:jc w:val="both"/>
        <w:rPr>
          <w:rFonts w:ascii="Bookman Old Style" w:hAnsi="Bookman Old Style"/>
          <w:sz w:val="24"/>
          <w:szCs w:val="24"/>
        </w:rPr>
      </w:pPr>
    </w:p>
    <w:p w:rsidR="00217CA4" w:rsidRDefault="00217CA4" w:rsidP="00373C4A">
      <w:pPr>
        <w:spacing w:after="0" w:line="360" w:lineRule="auto"/>
        <w:ind w:left="720" w:hanging="720"/>
        <w:jc w:val="both"/>
        <w:rPr>
          <w:rFonts w:ascii="Bookman Old Style" w:hAnsi="Bookman Old Style"/>
          <w:sz w:val="24"/>
          <w:szCs w:val="24"/>
        </w:rPr>
      </w:pPr>
      <w:r w:rsidRPr="00E82FF6">
        <w:rPr>
          <w:rFonts w:ascii="Bookman Old Style" w:hAnsi="Bookman Old Style"/>
          <w:sz w:val="24"/>
          <w:szCs w:val="24"/>
        </w:rPr>
        <w:t>(3)</w:t>
      </w:r>
      <w:r w:rsidRPr="00E82FF6">
        <w:rPr>
          <w:rFonts w:ascii="Bookman Old Style" w:hAnsi="Bookman Old Style"/>
          <w:sz w:val="24"/>
          <w:szCs w:val="24"/>
        </w:rPr>
        <w:tab/>
        <w:t>whether the employee's conduct was motivated, at least in part, by an intent to serve the employer.</w:t>
      </w:r>
    </w:p>
    <w:p w:rsidR="00C26452" w:rsidRPr="00E82FF6" w:rsidRDefault="00C26452" w:rsidP="00373C4A">
      <w:pPr>
        <w:spacing w:after="0" w:line="360" w:lineRule="auto"/>
        <w:ind w:left="720" w:hanging="720"/>
        <w:jc w:val="both"/>
        <w:rPr>
          <w:rFonts w:ascii="Bookman Old Style" w:hAnsi="Bookman Old Style"/>
          <w:sz w:val="24"/>
          <w:szCs w:val="24"/>
        </w:rPr>
      </w:pPr>
    </w:p>
    <w:p w:rsidR="00217CA4" w:rsidRDefault="00217CA4" w:rsidP="00373C4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82FF6">
        <w:rPr>
          <w:rFonts w:ascii="Bookman Old Style" w:hAnsi="Bookman Old Style"/>
          <w:sz w:val="24"/>
          <w:szCs w:val="24"/>
        </w:rPr>
        <w:t>The presence of a factor suggests that the employee’s conduc</w:t>
      </w:r>
      <w:r w:rsidR="0010704C">
        <w:rPr>
          <w:rFonts w:ascii="Bookman Old Style" w:hAnsi="Bookman Old Style"/>
          <w:sz w:val="24"/>
          <w:szCs w:val="24"/>
        </w:rPr>
        <w:t>t was within the scope of [his]</w:t>
      </w:r>
      <w:r w:rsidRPr="00E82FF6">
        <w:rPr>
          <w:rFonts w:ascii="Bookman Old Style" w:hAnsi="Bookman Old Style"/>
          <w:sz w:val="24"/>
          <w:szCs w:val="24"/>
        </w:rPr>
        <w:t>[her] employment.  On the other hand, the absence of a factor suggests that the employee’s conduct was not within the scope of [his][her] employment.</w:t>
      </w:r>
    </w:p>
    <w:p w:rsidR="00C26452" w:rsidRPr="00E82FF6" w:rsidRDefault="00C26452" w:rsidP="00373C4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17CA4" w:rsidRDefault="00217CA4" w:rsidP="00373C4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82FF6">
        <w:rPr>
          <w:rFonts w:ascii="Bookman Old Style" w:hAnsi="Bookman Old Style"/>
          <w:sz w:val="24"/>
          <w:szCs w:val="24"/>
        </w:rPr>
        <w:t>In evaluating these factors, you may consider the following facts:</w:t>
      </w:r>
    </w:p>
    <w:p w:rsidR="006C3953" w:rsidRPr="00E82FF6" w:rsidRDefault="006C3953" w:rsidP="00373C4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C26452" w:rsidRDefault="00217CA4" w:rsidP="00373C4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82FF6">
        <w:rPr>
          <w:rFonts w:ascii="Bookman Old Style" w:hAnsi="Bookman Old Style"/>
          <w:sz w:val="24"/>
          <w:szCs w:val="24"/>
        </w:rPr>
        <w:t xml:space="preserve">• </w:t>
      </w:r>
      <w:r w:rsidRPr="00E82FF6">
        <w:rPr>
          <w:rFonts w:ascii="Bookman Old Style" w:hAnsi="Bookman Old Style"/>
          <w:sz w:val="24"/>
          <w:szCs w:val="24"/>
        </w:rPr>
        <w:tab/>
        <w:t>the time, place and purpose of the employee's conduct;</w:t>
      </w:r>
    </w:p>
    <w:p w:rsidR="00DC70FF" w:rsidRPr="00E82FF6" w:rsidRDefault="00DC70FF" w:rsidP="00373C4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C26452" w:rsidRDefault="00217CA4" w:rsidP="00C26452">
      <w:pPr>
        <w:spacing w:after="0" w:line="360" w:lineRule="auto"/>
        <w:ind w:left="720" w:hanging="720"/>
        <w:jc w:val="both"/>
        <w:rPr>
          <w:rFonts w:ascii="Bookman Old Style" w:hAnsi="Bookman Old Style"/>
          <w:sz w:val="24"/>
          <w:szCs w:val="24"/>
        </w:rPr>
      </w:pPr>
      <w:r w:rsidRPr="00E82FF6">
        <w:rPr>
          <w:rFonts w:ascii="Bookman Old Style" w:hAnsi="Bookman Old Style"/>
          <w:sz w:val="24"/>
          <w:szCs w:val="24"/>
        </w:rPr>
        <w:t xml:space="preserve">• </w:t>
      </w:r>
      <w:r w:rsidRPr="00E82FF6">
        <w:rPr>
          <w:rFonts w:ascii="Bookman Old Style" w:hAnsi="Bookman Old Style"/>
          <w:sz w:val="24"/>
          <w:szCs w:val="24"/>
        </w:rPr>
        <w:tab/>
        <w:t>whether the employee's activity was the kind of activity that was commonly performed by similar employees of this employer;</w:t>
      </w:r>
    </w:p>
    <w:p w:rsidR="00DC70FF" w:rsidRPr="00E82FF6" w:rsidRDefault="00DC70FF" w:rsidP="00C26452">
      <w:pPr>
        <w:spacing w:after="0" w:line="360" w:lineRule="auto"/>
        <w:ind w:left="720" w:hanging="720"/>
        <w:jc w:val="both"/>
        <w:rPr>
          <w:rFonts w:ascii="Bookman Old Style" w:hAnsi="Bookman Old Style"/>
          <w:sz w:val="24"/>
          <w:szCs w:val="24"/>
        </w:rPr>
      </w:pPr>
    </w:p>
    <w:p w:rsidR="00217CA4" w:rsidRPr="00E82FF6" w:rsidRDefault="00217CA4" w:rsidP="00373C4A">
      <w:pPr>
        <w:spacing w:after="0" w:line="360" w:lineRule="auto"/>
        <w:ind w:left="720" w:hanging="720"/>
        <w:jc w:val="both"/>
        <w:rPr>
          <w:rFonts w:ascii="Bookman Old Style" w:hAnsi="Bookman Old Style"/>
          <w:sz w:val="24"/>
          <w:szCs w:val="24"/>
        </w:rPr>
      </w:pPr>
      <w:r w:rsidRPr="00E82FF6">
        <w:rPr>
          <w:rFonts w:ascii="Bookman Old Style" w:hAnsi="Bookman Old Style"/>
          <w:sz w:val="24"/>
          <w:szCs w:val="24"/>
        </w:rPr>
        <w:t xml:space="preserve">• </w:t>
      </w:r>
      <w:r w:rsidRPr="00E82FF6">
        <w:rPr>
          <w:rFonts w:ascii="Bookman Old Style" w:hAnsi="Bookman Old Style"/>
          <w:sz w:val="24"/>
          <w:szCs w:val="24"/>
        </w:rPr>
        <w:tab/>
        <w:t>any previous situations involving the employer's authorization to this employee;</w:t>
      </w:r>
    </w:p>
    <w:p w:rsidR="00217CA4" w:rsidRDefault="00217CA4" w:rsidP="00373C4A">
      <w:pPr>
        <w:spacing w:after="0" w:line="360" w:lineRule="auto"/>
        <w:ind w:left="720" w:hanging="720"/>
        <w:jc w:val="both"/>
        <w:rPr>
          <w:rFonts w:ascii="Bookman Old Style" w:hAnsi="Bookman Old Style"/>
          <w:sz w:val="24"/>
          <w:szCs w:val="24"/>
        </w:rPr>
      </w:pPr>
      <w:r w:rsidRPr="00E82FF6">
        <w:rPr>
          <w:rFonts w:ascii="Bookman Old Style" w:hAnsi="Bookman Old Style"/>
          <w:sz w:val="24"/>
          <w:szCs w:val="24"/>
        </w:rPr>
        <w:lastRenderedPageBreak/>
        <w:t>•</w:t>
      </w:r>
      <w:r w:rsidRPr="00E82FF6">
        <w:rPr>
          <w:rFonts w:ascii="Bookman Old Style" w:hAnsi="Bookman Old Style"/>
          <w:sz w:val="24"/>
          <w:szCs w:val="24"/>
        </w:rPr>
        <w:tab/>
        <w:t>the extent to which the employer divided its business activity between different employees and gave different employees different authorizations;</w:t>
      </w:r>
    </w:p>
    <w:p w:rsidR="00DC70FF" w:rsidRDefault="00DC70FF" w:rsidP="00373C4A">
      <w:pPr>
        <w:spacing w:after="0" w:line="360" w:lineRule="auto"/>
        <w:ind w:left="720" w:hanging="720"/>
        <w:jc w:val="both"/>
        <w:rPr>
          <w:rFonts w:ascii="Bookman Old Style" w:hAnsi="Bookman Old Style"/>
          <w:sz w:val="24"/>
          <w:szCs w:val="24"/>
        </w:rPr>
      </w:pPr>
    </w:p>
    <w:p w:rsidR="00C26452" w:rsidRDefault="00217CA4" w:rsidP="00C26452">
      <w:pPr>
        <w:spacing w:after="0" w:line="360" w:lineRule="auto"/>
        <w:ind w:left="720" w:hanging="720"/>
        <w:jc w:val="both"/>
        <w:rPr>
          <w:rFonts w:ascii="Bookman Old Style" w:hAnsi="Bookman Old Style"/>
          <w:sz w:val="24"/>
          <w:szCs w:val="24"/>
        </w:rPr>
      </w:pPr>
      <w:r w:rsidRPr="00E82FF6">
        <w:rPr>
          <w:rFonts w:ascii="Bookman Old Style" w:hAnsi="Bookman Old Style"/>
          <w:sz w:val="24"/>
          <w:szCs w:val="24"/>
        </w:rPr>
        <w:t>•</w:t>
      </w:r>
      <w:r w:rsidRPr="00E82FF6">
        <w:rPr>
          <w:rFonts w:ascii="Bookman Old Style" w:hAnsi="Bookman Old Style"/>
          <w:sz w:val="24"/>
          <w:szCs w:val="24"/>
        </w:rPr>
        <w:tab/>
        <w:t>whether the employee's conduct was outside the employer's area of business activity;</w:t>
      </w:r>
    </w:p>
    <w:p w:rsidR="00DC70FF" w:rsidRPr="00E82FF6" w:rsidRDefault="00DC70FF" w:rsidP="00C26452">
      <w:pPr>
        <w:spacing w:after="0" w:line="360" w:lineRule="auto"/>
        <w:ind w:left="720" w:hanging="720"/>
        <w:jc w:val="both"/>
        <w:rPr>
          <w:rFonts w:ascii="Bookman Old Style" w:hAnsi="Bookman Old Style"/>
          <w:sz w:val="24"/>
          <w:szCs w:val="24"/>
        </w:rPr>
      </w:pPr>
    </w:p>
    <w:p w:rsidR="00C26452" w:rsidRDefault="00217CA4" w:rsidP="00C26452">
      <w:pPr>
        <w:spacing w:after="0" w:line="360" w:lineRule="auto"/>
        <w:ind w:left="720" w:hanging="720"/>
        <w:jc w:val="both"/>
        <w:rPr>
          <w:rFonts w:ascii="Bookman Old Style" w:hAnsi="Bookman Old Style"/>
          <w:sz w:val="24"/>
          <w:szCs w:val="24"/>
        </w:rPr>
      </w:pPr>
      <w:r w:rsidRPr="00E82FF6">
        <w:rPr>
          <w:rFonts w:ascii="Bookman Old Style" w:hAnsi="Bookman Old Style"/>
          <w:sz w:val="24"/>
          <w:szCs w:val="24"/>
        </w:rPr>
        <w:t>•</w:t>
      </w:r>
      <w:r w:rsidRPr="00E82FF6">
        <w:rPr>
          <w:rFonts w:ascii="Bookman Old Style" w:hAnsi="Bookman Old Style"/>
          <w:sz w:val="24"/>
          <w:szCs w:val="24"/>
        </w:rPr>
        <w:tab/>
        <w:t>whether the employer had reason to expect that the employee would engage in the conduct;</w:t>
      </w:r>
    </w:p>
    <w:p w:rsidR="00DC70FF" w:rsidRPr="00E82FF6" w:rsidRDefault="00DC70FF" w:rsidP="00C26452">
      <w:pPr>
        <w:spacing w:after="0" w:line="360" w:lineRule="auto"/>
        <w:ind w:left="720" w:hanging="720"/>
        <w:jc w:val="both"/>
        <w:rPr>
          <w:rFonts w:ascii="Bookman Old Style" w:hAnsi="Bookman Old Style"/>
          <w:sz w:val="24"/>
          <w:szCs w:val="24"/>
        </w:rPr>
      </w:pPr>
    </w:p>
    <w:p w:rsidR="00217CA4" w:rsidRDefault="00217CA4" w:rsidP="00373C4A">
      <w:pPr>
        <w:spacing w:after="0" w:line="360" w:lineRule="auto"/>
        <w:ind w:left="720" w:hanging="720"/>
        <w:jc w:val="both"/>
        <w:rPr>
          <w:rFonts w:ascii="Bookman Old Style" w:hAnsi="Bookman Old Style"/>
          <w:sz w:val="24"/>
          <w:szCs w:val="24"/>
        </w:rPr>
      </w:pPr>
      <w:r w:rsidRPr="00E82FF6">
        <w:rPr>
          <w:rFonts w:ascii="Bookman Old Style" w:hAnsi="Bookman Old Style"/>
          <w:sz w:val="24"/>
          <w:szCs w:val="24"/>
        </w:rPr>
        <w:t>•</w:t>
      </w:r>
      <w:r w:rsidRPr="00E82FF6">
        <w:rPr>
          <w:rFonts w:ascii="Bookman Old Style" w:hAnsi="Bookman Old Style"/>
          <w:sz w:val="24"/>
          <w:szCs w:val="24"/>
        </w:rPr>
        <w:tab/>
        <w:t>the similarity of the employee's conduct to any conduct that the employer expressly authorized;</w:t>
      </w:r>
    </w:p>
    <w:p w:rsidR="00DC70FF" w:rsidRPr="00E82FF6" w:rsidRDefault="00DC70FF" w:rsidP="00373C4A">
      <w:pPr>
        <w:spacing w:after="0" w:line="360" w:lineRule="auto"/>
        <w:ind w:left="720" w:hanging="720"/>
        <w:jc w:val="both"/>
        <w:rPr>
          <w:rFonts w:ascii="Bookman Old Style" w:hAnsi="Bookman Old Style"/>
          <w:sz w:val="24"/>
          <w:szCs w:val="24"/>
        </w:rPr>
      </w:pPr>
    </w:p>
    <w:p w:rsidR="00217CA4" w:rsidRDefault="00217CA4" w:rsidP="00373C4A">
      <w:pPr>
        <w:spacing w:after="0" w:line="360" w:lineRule="auto"/>
        <w:ind w:left="720" w:hanging="720"/>
        <w:jc w:val="both"/>
        <w:rPr>
          <w:rFonts w:ascii="Bookman Old Style" w:hAnsi="Bookman Old Style"/>
          <w:sz w:val="24"/>
          <w:szCs w:val="24"/>
        </w:rPr>
      </w:pPr>
      <w:r w:rsidRPr="00E82FF6">
        <w:rPr>
          <w:rFonts w:ascii="Bookman Old Style" w:hAnsi="Bookman Old Style"/>
          <w:sz w:val="24"/>
          <w:szCs w:val="24"/>
        </w:rPr>
        <w:t>•</w:t>
      </w:r>
      <w:r w:rsidRPr="00E82FF6">
        <w:rPr>
          <w:rFonts w:ascii="Bookman Old Style" w:hAnsi="Bookman Old Style"/>
          <w:sz w:val="24"/>
          <w:szCs w:val="24"/>
        </w:rPr>
        <w:tab/>
        <w:t>whether the employer supplied any equipment or tools that the employee used when engaging in the conduct;</w:t>
      </w:r>
    </w:p>
    <w:p w:rsidR="00DC70FF" w:rsidRPr="00E82FF6" w:rsidRDefault="00DC70FF" w:rsidP="00373C4A">
      <w:pPr>
        <w:spacing w:after="0" w:line="360" w:lineRule="auto"/>
        <w:ind w:left="720" w:hanging="720"/>
        <w:jc w:val="both"/>
        <w:rPr>
          <w:rFonts w:ascii="Bookman Old Style" w:hAnsi="Bookman Old Style"/>
          <w:sz w:val="24"/>
          <w:szCs w:val="24"/>
        </w:rPr>
      </w:pPr>
    </w:p>
    <w:p w:rsidR="00217CA4" w:rsidRDefault="00217CA4" w:rsidP="00373C4A">
      <w:pPr>
        <w:spacing w:after="0" w:line="360" w:lineRule="auto"/>
        <w:ind w:left="720" w:hanging="720"/>
        <w:jc w:val="both"/>
        <w:rPr>
          <w:rFonts w:ascii="Bookman Old Style" w:hAnsi="Bookman Old Style"/>
          <w:sz w:val="24"/>
          <w:szCs w:val="24"/>
        </w:rPr>
      </w:pPr>
      <w:r w:rsidRPr="00E82FF6">
        <w:rPr>
          <w:rFonts w:ascii="Bookman Old Style" w:hAnsi="Bookman Old Style"/>
          <w:sz w:val="24"/>
          <w:szCs w:val="24"/>
        </w:rPr>
        <w:t>•</w:t>
      </w:r>
      <w:r w:rsidRPr="00E82FF6">
        <w:rPr>
          <w:rFonts w:ascii="Bookman Old Style" w:hAnsi="Bookman Old Style"/>
          <w:sz w:val="24"/>
          <w:szCs w:val="24"/>
        </w:rPr>
        <w:tab/>
        <w:t>whether the employee departed from the normal method of accomplishing an authorized result; and</w:t>
      </w:r>
    </w:p>
    <w:p w:rsidR="00DC70FF" w:rsidRPr="00E82FF6" w:rsidRDefault="00DC70FF" w:rsidP="00373C4A">
      <w:pPr>
        <w:spacing w:after="0" w:line="360" w:lineRule="auto"/>
        <w:ind w:left="720" w:hanging="720"/>
        <w:jc w:val="both"/>
        <w:rPr>
          <w:rFonts w:ascii="Bookman Old Style" w:hAnsi="Bookman Old Style"/>
          <w:sz w:val="24"/>
          <w:szCs w:val="24"/>
        </w:rPr>
      </w:pPr>
    </w:p>
    <w:p w:rsidR="00217CA4" w:rsidRPr="00E82FF6" w:rsidRDefault="00217CA4" w:rsidP="00373C4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82FF6">
        <w:rPr>
          <w:rFonts w:ascii="Bookman Old Style" w:hAnsi="Bookman Old Style"/>
          <w:sz w:val="24"/>
          <w:szCs w:val="24"/>
        </w:rPr>
        <w:t>•</w:t>
      </w:r>
      <w:r w:rsidRPr="00E82FF6">
        <w:rPr>
          <w:rFonts w:ascii="Bookman Old Style" w:hAnsi="Bookman Old Style"/>
          <w:sz w:val="24"/>
          <w:szCs w:val="24"/>
        </w:rPr>
        <w:tab/>
        <w:t>whether the employee's conduct involved a serious crime.</w:t>
      </w:r>
    </w:p>
    <w:p w:rsidR="00217CA4" w:rsidRDefault="00217CA4" w:rsidP="00CD718E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CD718E" w:rsidRPr="00E82FF6" w:rsidRDefault="00CD718E" w:rsidP="00CD718E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217CA4" w:rsidRDefault="00217CA4" w:rsidP="00CD718E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E82FF6">
        <w:rPr>
          <w:rFonts w:ascii="Bookman Old Style" w:hAnsi="Bookman Old Style"/>
          <w:b/>
          <w:sz w:val="24"/>
          <w:szCs w:val="24"/>
        </w:rPr>
        <w:t>Use Note</w:t>
      </w:r>
    </w:p>
    <w:p w:rsidR="00373C4A" w:rsidRPr="0010704C" w:rsidRDefault="00373C4A" w:rsidP="00CD718E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217CA4" w:rsidRDefault="00217CA4" w:rsidP="00CD718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82FF6">
        <w:rPr>
          <w:rFonts w:ascii="Bookman Old Style" w:hAnsi="Bookman Old Style"/>
          <w:sz w:val="24"/>
          <w:szCs w:val="24"/>
        </w:rPr>
        <w:t xml:space="preserve">This instruction should be given when the plaintiff claims that an employer is vicariously liable for the conduct of an employee, and there is a jury question about whether the employee was acting in the course and </w:t>
      </w:r>
      <w:r w:rsidR="00572649" w:rsidRPr="00E82FF6">
        <w:rPr>
          <w:rFonts w:ascii="Bookman Old Style" w:hAnsi="Bookman Old Style"/>
          <w:sz w:val="24"/>
          <w:szCs w:val="24"/>
        </w:rPr>
        <w:t>scope of his or her employment.</w:t>
      </w:r>
    </w:p>
    <w:p w:rsidR="00EB76D5" w:rsidRPr="00E82FF6" w:rsidRDefault="00EB76D5" w:rsidP="00CD718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17CA4" w:rsidRDefault="00217CA4" w:rsidP="00CD718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82FF6">
        <w:rPr>
          <w:rFonts w:ascii="Bookman Old Style" w:hAnsi="Bookman Old Style"/>
          <w:sz w:val="24"/>
          <w:szCs w:val="24"/>
        </w:rPr>
        <w:t xml:space="preserve">When the case involves the intentional use of force by an employee, the instruction should include an additional factor in the numbered list: “(4) the employer could have expected that the employee would use intentional force against the plaintiff.”  </w:t>
      </w:r>
      <w:r w:rsidRPr="00E82FF6">
        <w:rPr>
          <w:rFonts w:ascii="Bookman Old Style" w:hAnsi="Bookman Old Style"/>
          <w:i/>
          <w:sz w:val="24"/>
          <w:szCs w:val="24"/>
        </w:rPr>
        <w:t xml:space="preserve">See </w:t>
      </w:r>
      <w:r w:rsidRPr="00E82FF6">
        <w:rPr>
          <w:rFonts w:ascii="Bookman Old Style" w:hAnsi="Bookman Old Style"/>
          <w:sz w:val="24"/>
          <w:szCs w:val="24"/>
        </w:rPr>
        <w:t>Restatement (Second) of Agency § 228(d).</w:t>
      </w:r>
    </w:p>
    <w:p w:rsidR="00EB76D5" w:rsidRPr="00E82FF6" w:rsidRDefault="00EB76D5" w:rsidP="00CD718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17CA4" w:rsidRDefault="00217CA4" w:rsidP="00CD718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82FF6">
        <w:rPr>
          <w:rFonts w:ascii="Bookman Old Style" w:hAnsi="Bookman Old Style"/>
          <w:sz w:val="24"/>
          <w:szCs w:val="24"/>
        </w:rPr>
        <w:t>The facts identified in the bullet points should be deleted if they are not relevant to evidence in the case.</w:t>
      </w:r>
    </w:p>
    <w:p w:rsidR="00EB76D5" w:rsidRDefault="00EB76D5" w:rsidP="00CD718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17CA4" w:rsidRDefault="00217CA4" w:rsidP="00CD718E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E82FF6">
        <w:rPr>
          <w:rFonts w:ascii="Bookman Old Style" w:hAnsi="Bookman Old Style"/>
          <w:b/>
          <w:sz w:val="24"/>
          <w:szCs w:val="24"/>
        </w:rPr>
        <w:lastRenderedPageBreak/>
        <w:t>Comment</w:t>
      </w:r>
    </w:p>
    <w:p w:rsidR="00373C4A" w:rsidRPr="00E82FF6" w:rsidRDefault="00373C4A" w:rsidP="00CD718E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217CA4" w:rsidRDefault="00217CA4" w:rsidP="00CD718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82FF6">
        <w:rPr>
          <w:rFonts w:ascii="Bookman Old Style" w:hAnsi="Bookman Old Style"/>
          <w:sz w:val="24"/>
          <w:szCs w:val="24"/>
        </w:rPr>
        <w:t xml:space="preserve">A flexible analysis determines whether an employee's conduct was within the scope of employment, guided by factors stated in the Restatement (Second) of Agency §§ 228 and 229.  </w:t>
      </w:r>
      <w:r w:rsidRPr="00E82FF6">
        <w:rPr>
          <w:rFonts w:ascii="Bookman Old Style" w:hAnsi="Bookman Old Style"/>
          <w:i/>
          <w:sz w:val="24"/>
          <w:szCs w:val="24"/>
        </w:rPr>
        <w:t>Ondrusek v. Murphy</w:t>
      </w:r>
      <w:r w:rsidRPr="00E82FF6">
        <w:rPr>
          <w:rFonts w:ascii="Bookman Old Style" w:hAnsi="Bookman Old Style"/>
          <w:sz w:val="24"/>
          <w:szCs w:val="24"/>
        </w:rPr>
        <w:t xml:space="preserve">, 120 P.3d 1053, 1057 (Alaska 2005); </w:t>
      </w:r>
      <w:r w:rsidRPr="00E82FF6">
        <w:rPr>
          <w:rFonts w:ascii="Bookman Old Style" w:hAnsi="Bookman Old Style"/>
          <w:i/>
          <w:sz w:val="24"/>
          <w:szCs w:val="24"/>
        </w:rPr>
        <w:t>Taranto v. North Slope Borough</w:t>
      </w:r>
      <w:r w:rsidRPr="00E82FF6">
        <w:rPr>
          <w:rFonts w:ascii="Bookman Old Style" w:hAnsi="Bookman Old Style"/>
          <w:sz w:val="24"/>
          <w:szCs w:val="24"/>
        </w:rPr>
        <w:t>, 909 P.2d 354, 359 (Alaska 1996).  This instruction tra</w:t>
      </w:r>
      <w:r w:rsidR="00745AD2" w:rsidRPr="00E82FF6">
        <w:rPr>
          <w:rFonts w:ascii="Bookman Old Style" w:hAnsi="Bookman Old Style"/>
          <w:sz w:val="24"/>
          <w:szCs w:val="24"/>
        </w:rPr>
        <w:t>cks the Restatement provisions.</w:t>
      </w:r>
    </w:p>
    <w:p w:rsidR="00EB76D5" w:rsidRPr="00E82FF6" w:rsidRDefault="00EB76D5" w:rsidP="00CD718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17CA4" w:rsidRDefault="00217CA4" w:rsidP="00CD718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82FF6">
        <w:rPr>
          <w:rFonts w:ascii="Bookman Old Style" w:hAnsi="Bookman Old Style"/>
          <w:sz w:val="24"/>
          <w:szCs w:val="24"/>
        </w:rPr>
        <w:t>Restatement</w:t>
      </w:r>
      <w:r w:rsidR="0051141D">
        <w:rPr>
          <w:rFonts w:ascii="Bookman Old Style" w:hAnsi="Bookman Old Style"/>
          <w:sz w:val="24"/>
          <w:szCs w:val="24"/>
        </w:rPr>
        <w:t xml:space="preserve"> (Second)</w:t>
      </w:r>
      <w:r w:rsidRPr="00E82FF6">
        <w:rPr>
          <w:rFonts w:ascii="Bookman Old Style" w:hAnsi="Bookman Old Style"/>
          <w:sz w:val="24"/>
          <w:szCs w:val="24"/>
        </w:rPr>
        <w:t xml:space="preserve"> § 228 requires proof of four elements to conclude that conduct is within the course and scope of employment.  Alaska law does not follow Restatement § 228 in making proof of these four elements mandatory.  Instead, these elements are factors for the jury’s consideration</w:t>
      </w:r>
      <w:r w:rsidRPr="00E82FF6">
        <w:rPr>
          <w:rFonts w:ascii="Bookman Old Style" w:hAnsi="Bookman Old Style"/>
          <w:i/>
          <w:sz w:val="24"/>
          <w:szCs w:val="24"/>
        </w:rPr>
        <w:t>.  Laidlaw Transit, Inc. v. Crouse,</w:t>
      </w:r>
      <w:r w:rsidRPr="00E82FF6">
        <w:rPr>
          <w:rFonts w:ascii="Bookman Old Style" w:hAnsi="Bookman Old Style"/>
          <w:sz w:val="24"/>
          <w:szCs w:val="24"/>
        </w:rPr>
        <w:t xml:space="preserve"> 53 P.3d 1093, 1098-99 (Alaska 2002); </w:t>
      </w:r>
      <w:r w:rsidRPr="00E82FF6">
        <w:rPr>
          <w:rFonts w:ascii="Bookman Old Style" w:hAnsi="Bookman Old Style"/>
          <w:i/>
          <w:sz w:val="24"/>
          <w:szCs w:val="24"/>
        </w:rPr>
        <w:t>Taranto,</w:t>
      </w:r>
      <w:r w:rsidRPr="00E82FF6">
        <w:rPr>
          <w:rFonts w:ascii="Bookman Old Style" w:hAnsi="Bookman Old Style"/>
          <w:sz w:val="24"/>
          <w:szCs w:val="24"/>
        </w:rPr>
        <w:t xml:space="preserve"> 909 P.2d at 359</w:t>
      </w:r>
      <w:r w:rsidRPr="00E82FF6">
        <w:rPr>
          <w:rFonts w:ascii="Bookman Old Style" w:hAnsi="Bookman Old Style"/>
          <w:i/>
          <w:sz w:val="24"/>
          <w:szCs w:val="24"/>
        </w:rPr>
        <w:t>; Doe v. Samaritan Counseling</w:t>
      </w:r>
      <w:r w:rsidRPr="00E82FF6">
        <w:rPr>
          <w:rFonts w:ascii="Bookman Old Style" w:hAnsi="Bookman Old Style"/>
          <w:sz w:val="24"/>
          <w:szCs w:val="24"/>
        </w:rPr>
        <w:t xml:space="preserve">, 791 P.2d 344, 346 (Alaska 1990); </w:t>
      </w:r>
      <w:r w:rsidRPr="00E82FF6">
        <w:rPr>
          <w:rFonts w:ascii="Bookman Old Style" w:hAnsi="Bookman Old Style"/>
          <w:i/>
          <w:sz w:val="24"/>
          <w:szCs w:val="24"/>
        </w:rPr>
        <w:t>Luth v. Rogers &amp; Babler Constr. Co</w:t>
      </w:r>
      <w:r w:rsidR="00745AD2" w:rsidRPr="00E82FF6">
        <w:rPr>
          <w:rFonts w:ascii="Bookman Old Style" w:hAnsi="Bookman Old Style"/>
          <w:sz w:val="24"/>
          <w:szCs w:val="24"/>
        </w:rPr>
        <w:t xml:space="preserve">., 507 P.2d 761 (Alaska 1973). </w:t>
      </w:r>
    </w:p>
    <w:p w:rsidR="00EB76D5" w:rsidRPr="00E82FF6" w:rsidRDefault="00EB76D5" w:rsidP="00CD718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217CA4" w:rsidRDefault="00217CA4" w:rsidP="00CD718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E82FF6">
        <w:rPr>
          <w:rFonts w:ascii="Bookman Old Style" w:hAnsi="Bookman Old Style"/>
          <w:sz w:val="24"/>
          <w:szCs w:val="24"/>
        </w:rPr>
        <w:t xml:space="preserve">Whether conduct is within the scope of employment is generally a fact-specific inquiry for the jury.  </w:t>
      </w:r>
      <w:r w:rsidRPr="00E82FF6">
        <w:rPr>
          <w:rFonts w:ascii="Bookman Old Style" w:hAnsi="Bookman Old Style"/>
          <w:i/>
          <w:sz w:val="24"/>
          <w:szCs w:val="24"/>
        </w:rPr>
        <w:t>Ondrusek</w:t>
      </w:r>
      <w:r w:rsidRPr="00E82FF6">
        <w:rPr>
          <w:rFonts w:ascii="Bookman Old Style" w:hAnsi="Bookman Old Style"/>
          <w:sz w:val="24"/>
          <w:szCs w:val="24"/>
        </w:rPr>
        <w:t xml:space="preserve">, 120 P.3d at 1057.  In some cases, the employer's vicarious liability can be established by summary judgment or directed verdict.  </w:t>
      </w:r>
      <w:r w:rsidRPr="00E82FF6">
        <w:rPr>
          <w:rFonts w:ascii="Bookman Old Style" w:hAnsi="Bookman Old Style"/>
          <w:i/>
          <w:sz w:val="24"/>
          <w:szCs w:val="24"/>
        </w:rPr>
        <w:t>See, e.g., Parnell v. Peak Oilfield Service Co</w:t>
      </w:r>
      <w:r w:rsidRPr="00E82FF6">
        <w:rPr>
          <w:rFonts w:ascii="Bookman Old Style" w:hAnsi="Bookman Old Style"/>
          <w:sz w:val="24"/>
          <w:szCs w:val="24"/>
        </w:rPr>
        <w:t xml:space="preserve">., 174 P.3d 757 (Alaska 2007) (affirming summary judgment on employer's vicarious liability, because the undisputed facts established that the employee was acting within the course and scope); </w:t>
      </w:r>
      <w:r w:rsidRPr="00E82FF6">
        <w:rPr>
          <w:rFonts w:ascii="Bookman Old Style" w:hAnsi="Bookman Old Style"/>
          <w:i/>
          <w:sz w:val="24"/>
          <w:szCs w:val="24"/>
        </w:rPr>
        <w:t>Domke v. Alyeska Pipeline Service Co</w:t>
      </w:r>
      <w:r w:rsidRPr="00E82FF6">
        <w:rPr>
          <w:rFonts w:ascii="Bookman Old Style" w:hAnsi="Bookman Old Style"/>
          <w:sz w:val="24"/>
          <w:szCs w:val="24"/>
        </w:rPr>
        <w:t xml:space="preserve">., 137 P.3d 295 (Alaska 2006) (remanding for entry of judgment </w:t>
      </w:r>
      <w:r w:rsidRPr="00E82FF6">
        <w:rPr>
          <w:rFonts w:ascii="Bookman Old Style" w:hAnsi="Bookman Old Style"/>
          <w:i/>
          <w:sz w:val="24"/>
          <w:szCs w:val="24"/>
        </w:rPr>
        <w:t>n.o.v</w:t>
      </w:r>
      <w:r w:rsidRPr="00E82FF6">
        <w:rPr>
          <w:rFonts w:ascii="Bookman Old Style" w:hAnsi="Bookman Old Style"/>
          <w:sz w:val="24"/>
          <w:szCs w:val="24"/>
        </w:rPr>
        <w:t>. that an employee was actin</w:t>
      </w:r>
      <w:r w:rsidR="00745AD2" w:rsidRPr="00E82FF6">
        <w:rPr>
          <w:rFonts w:ascii="Bookman Old Style" w:hAnsi="Bookman Old Style"/>
          <w:sz w:val="24"/>
          <w:szCs w:val="24"/>
        </w:rPr>
        <w:t>g within the course and scope).</w:t>
      </w:r>
    </w:p>
    <w:p w:rsidR="00EB76D5" w:rsidRPr="00E82FF6" w:rsidRDefault="00EB76D5" w:rsidP="00CD718E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E82FF6" w:rsidRPr="00E82FF6" w:rsidRDefault="00E82FF6" w:rsidP="00CD718E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sectPr w:rsidR="00E82FF6" w:rsidRPr="00E82FF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27B" w:rsidRDefault="0058427B" w:rsidP="0058427B">
      <w:pPr>
        <w:spacing w:after="0" w:line="240" w:lineRule="auto"/>
      </w:pPr>
      <w:r>
        <w:separator/>
      </w:r>
    </w:p>
  </w:endnote>
  <w:endnote w:type="continuationSeparator" w:id="0">
    <w:p w:rsidR="0058427B" w:rsidRDefault="0058427B" w:rsidP="0058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27B" w:rsidRPr="003C5732" w:rsidRDefault="00BC2B81">
    <w:pPr>
      <w:pStyle w:val="Footer"/>
      <w:rPr>
        <w:rFonts w:ascii="Bookman Old Style" w:hAnsi="Bookman Old Style"/>
      </w:rPr>
    </w:pPr>
    <w:r>
      <w:rPr>
        <w:rFonts w:ascii="Bookman Old Style" w:hAnsi="Bookman Old Style"/>
      </w:rPr>
      <w:t>2015</w:t>
    </w:r>
    <w:r w:rsidR="0058427B" w:rsidRPr="0058427B">
      <w:rPr>
        <w:rFonts w:ascii="Bookman Old Style" w:hAnsi="Bookman Old Style"/>
      </w:rPr>
      <w:tab/>
    </w:r>
    <w:r w:rsidR="0058427B" w:rsidRPr="0058427B">
      <w:rPr>
        <w:rFonts w:ascii="Bookman Old Style" w:hAnsi="Bookman Old Style"/>
      </w:rPr>
      <w:tab/>
    </w:r>
    <w:r w:rsidR="0058427B" w:rsidRPr="003C5732">
      <w:rPr>
        <w:rFonts w:ascii="Bookman Old Style" w:hAnsi="Bookman Old Style"/>
      </w:rPr>
      <w:t>23.02</w:t>
    </w:r>
    <w:r w:rsidR="003C5732" w:rsidRPr="003C5732">
      <w:rPr>
        <w:rFonts w:ascii="Bookman Old Style" w:hAnsi="Bookman Old Style"/>
      </w:rPr>
      <w:t xml:space="preserve"> - Page </w:t>
    </w:r>
    <w:r w:rsidR="003C5732" w:rsidRPr="003C5732">
      <w:rPr>
        <w:rFonts w:ascii="Bookman Old Style" w:hAnsi="Bookman Old Style"/>
      </w:rPr>
      <w:fldChar w:fldCharType="begin"/>
    </w:r>
    <w:r w:rsidR="003C5732" w:rsidRPr="003C5732">
      <w:rPr>
        <w:rFonts w:ascii="Bookman Old Style" w:hAnsi="Bookman Old Style"/>
      </w:rPr>
      <w:instrText xml:space="preserve"> PAGE  \* Arabic  \* MERGEFORMAT </w:instrText>
    </w:r>
    <w:r w:rsidR="003C5732" w:rsidRPr="003C5732">
      <w:rPr>
        <w:rFonts w:ascii="Bookman Old Style" w:hAnsi="Bookman Old Style"/>
      </w:rPr>
      <w:fldChar w:fldCharType="separate"/>
    </w:r>
    <w:r w:rsidR="003C5732">
      <w:rPr>
        <w:rFonts w:ascii="Bookman Old Style" w:hAnsi="Bookman Old Style"/>
        <w:noProof/>
      </w:rPr>
      <w:t>1</w:t>
    </w:r>
    <w:r w:rsidR="003C5732" w:rsidRPr="003C5732">
      <w:rPr>
        <w:rFonts w:ascii="Bookman Old Style" w:hAnsi="Bookman Old Style"/>
      </w:rPr>
      <w:fldChar w:fldCharType="end"/>
    </w:r>
    <w:r w:rsidR="003C5732" w:rsidRPr="003C5732">
      <w:rPr>
        <w:rFonts w:ascii="Bookman Old Style" w:hAnsi="Bookman Old Style"/>
      </w:rPr>
      <w:t xml:space="preserve"> of </w:t>
    </w:r>
    <w:r w:rsidR="003C5732" w:rsidRPr="003C5732">
      <w:rPr>
        <w:rFonts w:ascii="Bookman Old Style" w:hAnsi="Bookman Old Style"/>
      </w:rPr>
      <w:fldChar w:fldCharType="begin"/>
    </w:r>
    <w:r w:rsidR="003C5732" w:rsidRPr="003C5732">
      <w:rPr>
        <w:rFonts w:ascii="Bookman Old Style" w:hAnsi="Bookman Old Style"/>
      </w:rPr>
      <w:instrText xml:space="preserve"> NUMPAGES  \* Arabic  \* MERGEFORMAT </w:instrText>
    </w:r>
    <w:r w:rsidR="003C5732" w:rsidRPr="003C5732">
      <w:rPr>
        <w:rFonts w:ascii="Bookman Old Style" w:hAnsi="Bookman Old Style"/>
      </w:rPr>
      <w:fldChar w:fldCharType="separate"/>
    </w:r>
    <w:r w:rsidR="003C5732">
      <w:rPr>
        <w:rFonts w:ascii="Bookman Old Style" w:hAnsi="Bookman Old Style"/>
        <w:noProof/>
      </w:rPr>
      <w:t>3</w:t>
    </w:r>
    <w:r w:rsidR="003C5732" w:rsidRPr="003C5732">
      <w:rPr>
        <w:rFonts w:ascii="Bookman Old Style" w:hAnsi="Bookman Old Styl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27B" w:rsidRDefault="0058427B" w:rsidP="0058427B">
      <w:pPr>
        <w:spacing w:after="0" w:line="240" w:lineRule="auto"/>
      </w:pPr>
      <w:r>
        <w:separator/>
      </w:r>
    </w:p>
  </w:footnote>
  <w:footnote w:type="continuationSeparator" w:id="0">
    <w:p w:rsidR="0058427B" w:rsidRDefault="0058427B" w:rsidP="005842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A4"/>
    <w:rsid w:val="0010704C"/>
    <w:rsid w:val="001B4DCB"/>
    <w:rsid w:val="00217CA4"/>
    <w:rsid w:val="00373C4A"/>
    <w:rsid w:val="003C5732"/>
    <w:rsid w:val="0051141D"/>
    <w:rsid w:val="00572649"/>
    <w:rsid w:val="0058427B"/>
    <w:rsid w:val="006C3953"/>
    <w:rsid w:val="00745AD2"/>
    <w:rsid w:val="00787972"/>
    <w:rsid w:val="00797F13"/>
    <w:rsid w:val="00815D8D"/>
    <w:rsid w:val="00A31215"/>
    <w:rsid w:val="00B035F4"/>
    <w:rsid w:val="00B12CEE"/>
    <w:rsid w:val="00B95728"/>
    <w:rsid w:val="00BC2B81"/>
    <w:rsid w:val="00BE72DA"/>
    <w:rsid w:val="00C26452"/>
    <w:rsid w:val="00C60AF8"/>
    <w:rsid w:val="00CD718E"/>
    <w:rsid w:val="00DB6E48"/>
    <w:rsid w:val="00DC70FF"/>
    <w:rsid w:val="00E82FF6"/>
    <w:rsid w:val="00EB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2D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42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42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427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84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27B"/>
  </w:style>
  <w:style w:type="paragraph" w:styleId="Footer">
    <w:name w:val="footer"/>
    <w:basedOn w:val="Normal"/>
    <w:link w:val="FooterChar"/>
    <w:uiPriority w:val="99"/>
    <w:unhideWhenUsed/>
    <w:rsid w:val="00584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27B"/>
  </w:style>
  <w:style w:type="paragraph" w:styleId="ListParagraph">
    <w:name w:val="List Paragraph"/>
    <w:basedOn w:val="Normal"/>
    <w:uiPriority w:val="34"/>
    <w:qFormat/>
    <w:rsid w:val="00C264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7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2D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42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42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427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84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27B"/>
  </w:style>
  <w:style w:type="paragraph" w:styleId="Footer">
    <w:name w:val="footer"/>
    <w:basedOn w:val="Normal"/>
    <w:link w:val="FooterChar"/>
    <w:uiPriority w:val="99"/>
    <w:unhideWhenUsed/>
    <w:rsid w:val="00584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27B"/>
  </w:style>
  <w:style w:type="paragraph" w:styleId="ListParagraph">
    <w:name w:val="List Paragraph"/>
    <w:basedOn w:val="Normal"/>
    <w:uiPriority w:val="34"/>
    <w:qFormat/>
    <w:rsid w:val="00C2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06517-C77B-407B-B291-60C74F0EA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Court System</Company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Johnson</dc:creator>
  <cp:lastModifiedBy>Windows User</cp:lastModifiedBy>
  <cp:revision>10</cp:revision>
  <cp:lastPrinted>2015-09-30T21:33:00Z</cp:lastPrinted>
  <dcterms:created xsi:type="dcterms:W3CDTF">2014-12-10T19:24:00Z</dcterms:created>
  <dcterms:modified xsi:type="dcterms:W3CDTF">2015-12-29T21:40:00Z</dcterms:modified>
</cp:coreProperties>
</file>