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587" w:rsidRPr="008A672C" w:rsidRDefault="00A15289" w:rsidP="008E4636">
      <w:pPr>
        <w:spacing w:after="0" w:line="240" w:lineRule="auto"/>
        <w:ind w:left="1440" w:hanging="1440"/>
        <w:jc w:val="both"/>
        <w:rPr>
          <w:rFonts w:ascii="Bookman Old Style" w:eastAsia="Times New Roman" w:hAnsi="Bookman Old Style" w:cs="Times New Roman"/>
          <w:b/>
          <w:sz w:val="26"/>
          <w:szCs w:val="26"/>
        </w:rPr>
      </w:pPr>
      <w:bookmarkStart w:id="0" w:name="_GoBack"/>
      <w:bookmarkEnd w:id="0"/>
      <w:r w:rsidRPr="008A672C">
        <w:rPr>
          <w:rFonts w:ascii="Bookman Old Style" w:eastAsia="Times New Roman" w:hAnsi="Bookman Old Style" w:cs="Times New Roman"/>
          <w:b/>
          <w:sz w:val="26"/>
          <w:szCs w:val="26"/>
        </w:rPr>
        <w:t>23.06</w:t>
      </w:r>
      <w:r w:rsidR="004F1587" w:rsidRPr="008A672C">
        <w:rPr>
          <w:rFonts w:ascii="Bookman Old Style" w:eastAsia="Times New Roman" w:hAnsi="Bookman Old Style" w:cs="Times New Roman"/>
          <w:b/>
          <w:sz w:val="26"/>
          <w:szCs w:val="26"/>
        </w:rPr>
        <w:tab/>
        <w:t xml:space="preserve">EMPLOYER LIABILITY – </w:t>
      </w:r>
      <w:proofErr w:type="gramStart"/>
      <w:r w:rsidR="004F1587" w:rsidRPr="008A672C">
        <w:rPr>
          <w:rFonts w:ascii="Bookman Old Style" w:eastAsia="Times New Roman" w:hAnsi="Bookman Old Style" w:cs="Times New Roman"/>
          <w:b/>
          <w:sz w:val="26"/>
          <w:szCs w:val="26"/>
        </w:rPr>
        <w:t>INDEPENDENT  CONTRACTOR</w:t>
      </w:r>
      <w:proofErr w:type="gramEnd"/>
      <w:r w:rsidR="004F1587" w:rsidRPr="008A672C">
        <w:rPr>
          <w:rFonts w:ascii="Bookman Old Style" w:eastAsia="Times New Roman" w:hAnsi="Bookman Old Style" w:cs="Times New Roman"/>
          <w:b/>
          <w:sz w:val="26"/>
          <w:szCs w:val="26"/>
        </w:rPr>
        <w:t xml:space="preserve"> – DANGEROUS WORK</w:t>
      </w:r>
    </w:p>
    <w:p w:rsidR="00C303A4" w:rsidRPr="008A672C" w:rsidRDefault="00C303A4" w:rsidP="008E4636">
      <w:pPr>
        <w:spacing w:after="0" w:line="360" w:lineRule="auto"/>
        <w:ind w:left="1440" w:hanging="1440"/>
        <w:jc w:val="both"/>
        <w:rPr>
          <w:rFonts w:ascii="Bookman Old Style" w:eastAsia="Times New Roman" w:hAnsi="Bookman Old Style" w:cs="Times New Roman"/>
          <w:b/>
          <w:sz w:val="26"/>
          <w:szCs w:val="26"/>
        </w:rPr>
      </w:pPr>
    </w:p>
    <w:p w:rsidR="004F1587" w:rsidRDefault="004F1587" w:rsidP="00E6114B">
      <w:pPr>
        <w:spacing w:after="0" w:line="360" w:lineRule="auto"/>
        <w:jc w:val="both"/>
        <w:rPr>
          <w:rFonts w:ascii="Bookman Old Style" w:eastAsia="Times New Roman" w:hAnsi="Bookman Old Style" w:cs="Times New Roman"/>
          <w:sz w:val="24"/>
          <w:szCs w:val="24"/>
        </w:rPr>
      </w:pPr>
      <w:r w:rsidRPr="004F1587">
        <w:rPr>
          <w:rFonts w:ascii="Bookman Old Style" w:eastAsia="Times New Roman" w:hAnsi="Bookman Old Style" w:cs="Times New Roman"/>
          <w:sz w:val="24"/>
          <w:szCs w:val="24"/>
        </w:rPr>
        <w:t>[Employer] hired [</w:t>
      </w:r>
      <w:r w:rsidR="004D5EFF">
        <w:rPr>
          <w:rFonts w:ascii="Bookman Old Style" w:eastAsia="Times New Roman" w:hAnsi="Bookman Old Style" w:cs="Times New Roman"/>
          <w:sz w:val="24"/>
          <w:szCs w:val="24"/>
        </w:rPr>
        <w:t xml:space="preserve">independent </w:t>
      </w:r>
      <w:r w:rsidR="00027943">
        <w:rPr>
          <w:rFonts w:ascii="Bookman Old Style" w:eastAsia="Times New Roman" w:hAnsi="Bookman Old Style" w:cs="Times New Roman"/>
          <w:sz w:val="24"/>
          <w:szCs w:val="24"/>
        </w:rPr>
        <w:t>contractor] to perform work.  The p</w:t>
      </w:r>
      <w:r w:rsidRPr="004F1587">
        <w:rPr>
          <w:rFonts w:ascii="Bookman Old Style" w:eastAsia="Times New Roman" w:hAnsi="Bookman Old Style" w:cs="Times New Roman"/>
          <w:sz w:val="24"/>
          <w:szCs w:val="24"/>
        </w:rPr>
        <w:t xml:space="preserve">laintiff claims that </w:t>
      </w:r>
      <w:r w:rsidR="00C303A4">
        <w:rPr>
          <w:rFonts w:ascii="Bookman Old Style" w:eastAsia="Times New Roman" w:hAnsi="Bookman Old Style" w:cs="Times New Roman"/>
          <w:sz w:val="24"/>
          <w:szCs w:val="24"/>
        </w:rPr>
        <w:t>[he</w:t>
      </w:r>
      <w:proofErr w:type="gramStart"/>
      <w:r w:rsidR="00C303A4">
        <w:rPr>
          <w:rFonts w:ascii="Bookman Old Style" w:eastAsia="Times New Roman" w:hAnsi="Bookman Old Style" w:cs="Times New Roman"/>
          <w:sz w:val="24"/>
          <w:szCs w:val="24"/>
        </w:rPr>
        <w:t>][</w:t>
      </w:r>
      <w:proofErr w:type="gramEnd"/>
      <w:r w:rsidR="00C303A4">
        <w:rPr>
          <w:rFonts w:ascii="Bookman Old Style" w:eastAsia="Times New Roman" w:hAnsi="Bookman Old Style" w:cs="Times New Roman"/>
          <w:sz w:val="24"/>
          <w:szCs w:val="24"/>
        </w:rPr>
        <w:t>she][</w:t>
      </w:r>
      <w:r w:rsidRPr="004F1587">
        <w:rPr>
          <w:rFonts w:ascii="Bookman Old Style" w:eastAsia="Times New Roman" w:hAnsi="Bookman Old Style" w:cs="Times New Roman"/>
          <w:sz w:val="24"/>
          <w:szCs w:val="24"/>
        </w:rPr>
        <w:t>it] was harmed because [employer] failed to take special precauti</w:t>
      </w:r>
      <w:r w:rsidR="004D5EFF">
        <w:rPr>
          <w:rFonts w:ascii="Bookman Old Style" w:eastAsia="Times New Roman" w:hAnsi="Bookman Old Style" w:cs="Times New Roman"/>
          <w:sz w:val="24"/>
          <w:szCs w:val="24"/>
        </w:rPr>
        <w:t>ons with regard to [independent contractor</w:t>
      </w:r>
      <w:r w:rsidRPr="004F1587">
        <w:rPr>
          <w:rFonts w:ascii="Bookman Old Style" w:eastAsia="Times New Roman" w:hAnsi="Bookman Old Style" w:cs="Times New Roman"/>
          <w:sz w:val="24"/>
          <w:szCs w:val="24"/>
        </w:rPr>
        <w:t>]</w:t>
      </w:r>
      <w:r w:rsidR="004D5EFF">
        <w:rPr>
          <w:rFonts w:ascii="Bookman Old Style" w:eastAsia="Times New Roman" w:hAnsi="Bookman Old Style" w:cs="Times New Roman"/>
          <w:sz w:val="24"/>
          <w:szCs w:val="24"/>
        </w:rPr>
        <w:t>’s</w:t>
      </w:r>
      <w:r w:rsidRPr="004F1587">
        <w:rPr>
          <w:rFonts w:ascii="Bookman Old Style" w:eastAsia="Times New Roman" w:hAnsi="Bookman Old Style" w:cs="Times New Roman"/>
          <w:sz w:val="24"/>
          <w:szCs w:val="24"/>
        </w:rPr>
        <w:t xml:space="preserve"> performance of the work.  </w:t>
      </w:r>
    </w:p>
    <w:p w:rsidR="00221111" w:rsidRPr="004F1587" w:rsidRDefault="00221111" w:rsidP="00E6114B">
      <w:pPr>
        <w:spacing w:after="0" w:line="360" w:lineRule="auto"/>
        <w:jc w:val="both"/>
        <w:rPr>
          <w:rFonts w:ascii="Bookman Old Style" w:eastAsia="Times New Roman" w:hAnsi="Bookman Old Style" w:cs="Times New Roman"/>
          <w:sz w:val="24"/>
          <w:szCs w:val="24"/>
        </w:rPr>
      </w:pPr>
    </w:p>
    <w:p w:rsidR="004F1587" w:rsidRDefault="004F1587" w:rsidP="00221111">
      <w:pPr>
        <w:spacing w:after="0" w:line="360" w:lineRule="auto"/>
        <w:jc w:val="both"/>
        <w:rPr>
          <w:rFonts w:ascii="Bookman Old Style" w:eastAsia="Times New Roman" w:hAnsi="Bookman Old Style" w:cs="Times New Roman"/>
          <w:sz w:val="24"/>
          <w:szCs w:val="24"/>
        </w:rPr>
      </w:pPr>
      <w:r w:rsidRPr="004F1587">
        <w:rPr>
          <w:rFonts w:ascii="Bookman Old Style" w:eastAsia="Times New Roman" w:hAnsi="Bookman Old Style" w:cs="Times New Roman"/>
          <w:sz w:val="24"/>
          <w:szCs w:val="24"/>
        </w:rPr>
        <w:t>In order to find that plaintiff is entitled to recover</w:t>
      </w:r>
      <w:r w:rsidR="00D73733">
        <w:rPr>
          <w:rFonts w:ascii="Bookman Old Style" w:eastAsia="Times New Roman" w:hAnsi="Bookman Old Style" w:cs="Times New Roman"/>
          <w:sz w:val="24"/>
          <w:szCs w:val="24"/>
        </w:rPr>
        <w:t xml:space="preserve"> on this claim,</w:t>
      </w:r>
      <w:r w:rsidRPr="004F1587">
        <w:rPr>
          <w:rFonts w:ascii="Bookman Old Style" w:eastAsia="Times New Roman" w:hAnsi="Bookman Old Style" w:cs="Times New Roman"/>
          <w:sz w:val="24"/>
          <w:szCs w:val="24"/>
        </w:rPr>
        <w:t xml:space="preserve"> you must find that it is more likely true than not true that: </w:t>
      </w:r>
    </w:p>
    <w:p w:rsidR="00221111" w:rsidRPr="004F1587" w:rsidRDefault="00221111" w:rsidP="00221111">
      <w:pPr>
        <w:spacing w:after="0" w:line="360" w:lineRule="auto"/>
        <w:jc w:val="both"/>
        <w:rPr>
          <w:rFonts w:ascii="Bookman Old Style" w:eastAsia="Times New Roman" w:hAnsi="Bookman Old Style" w:cs="Times New Roman"/>
          <w:sz w:val="24"/>
          <w:szCs w:val="24"/>
        </w:rPr>
      </w:pPr>
    </w:p>
    <w:p w:rsidR="004F1587" w:rsidRDefault="00C303A4" w:rsidP="00221111">
      <w:pPr>
        <w:spacing w:after="0" w:line="360" w:lineRule="auto"/>
        <w:ind w:left="720" w:hanging="72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w:t>
      </w:r>
      <w:r w:rsidR="00027943">
        <w:rPr>
          <w:rFonts w:ascii="Bookman Old Style" w:eastAsia="Times New Roman" w:hAnsi="Bookman Old Style" w:cs="Times New Roman"/>
          <w:sz w:val="24"/>
          <w:szCs w:val="24"/>
        </w:rPr>
        <w:t>1)</w:t>
      </w:r>
      <w:r w:rsidR="00027943">
        <w:rPr>
          <w:rFonts w:ascii="Bookman Old Style" w:eastAsia="Times New Roman" w:hAnsi="Bookman Old Style" w:cs="Times New Roman"/>
          <w:sz w:val="24"/>
          <w:szCs w:val="24"/>
        </w:rPr>
        <w:tab/>
        <w:t xml:space="preserve"> [</w:t>
      </w:r>
      <w:proofErr w:type="gramStart"/>
      <w:r w:rsidR="00027943">
        <w:rPr>
          <w:rFonts w:ascii="Bookman Old Style" w:eastAsia="Times New Roman" w:hAnsi="Bookman Old Style" w:cs="Times New Roman"/>
          <w:sz w:val="24"/>
          <w:szCs w:val="24"/>
        </w:rPr>
        <w:t>employer</w:t>
      </w:r>
      <w:proofErr w:type="gramEnd"/>
      <w:r w:rsidR="00027943">
        <w:rPr>
          <w:rFonts w:ascii="Bookman Old Style" w:eastAsia="Times New Roman" w:hAnsi="Bookman Old Style" w:cs="Times New Roman"/>
          <w:sz w:val="24"/>
          <w:szCs w:val="24"/>
        </w:rPr>
        <w:t>]</w:t>
      </w:r>
      <w:r w:rsidR="004F1587" w:rsidRPr="004F1587">
        <w:rPr>
          <w:rFonts w:ascii="Bookman Old Style" w:eastAsia="Times New Roman" w:hAnsi="Bookman Old Style" w:cs="Times New Roman"/>
          <w:sz w:val="24"/>
          <w:szCs w:val="24"/>
        </w:rPr>
        <w:t xml:space="preserve"> knew or reason</w:t>
      </w:r>
      <w:r w:rsidR="004D5EFF">
        <w:rPr>
          <w:rFonts w:ascii="Bookman Old Style" w:eastAsia="Times New Roman" w:hAnsi="Bookman Old Style" w:cs="Times New Roman"/>
          <w:sz w:val="24"/>
          <w:szCs w:val="24"/>
        </w:rPr>
        <w:t xml:space="preserve">ably should have known that [independent </w:t>
      </w:r>
      <w:r w:rsidR="004F1587" w:rsidRPr="004F1587">
        <w:rPr>
          <w:rFonts w:ascii="Bookman Old Style" w:eastAsia="Times New Roman" w:hAnsi="Bookman Old Style" w:cs="Times New Roman"/>
          <w:sz w:val="24"/>
          <w:szCs w:val="24"/>
        </w:rPr>
        <w:t>contractor</w:t>
      </w:r>
      <w:r w:rsidR="004D5EFF">
        <w:rPr>
          <w:rFonts w:ascii="Bookman Old Style" w:eastAsia="Times New Roman" w:hAnsi="Bookman Old Style" w:cs="Times New Roman"/>
          <w:sz w:val="24"/>
          <w:szCs w:val="24"/>
        </w:rPr>
        <w:t>]</w:t>
      </w:r>
      <w:r w:rsidR="004F1587" w:rsidRPr="004F1587">
        <w:rPr>
          <w:rFonts w:ascii="Bookman Old Style" w:eastAsia="Times New Roman" w:hAnsi="Bookman Old Style" w:cs="Times New Roman"/>
          <w:sz w:val="24"/>
          <w:szCs w:val="24"/>
        </w:rPr>
        <w:t xml:space="preserve">’s work involved an unusual risk of bodily harm unless special precautions were taken.  A risk that a contractor routinely encounters in its line of work is not an unusual risk, and the contractor’s employer is not required to take special precautions to address the risk;  </w:t>
      </w:r>
    </w:p>
    <w:p w:rsidR="00221111" w:rsidRPr="004F1587" w:rsidRDefault="00221111" w:rsidP="00221111">
      <w:pPr>
        <w:spacing w:after="0" w:line="360" w:lineRule="auto"/>
        <w:ind w:left="720" w:hanging="720"/>
        <w:jc w:val="both"/>
        <w:rPr>
          <w:rFonts w:ascii="Bookman Old Style" w:eastAsia="Times New Roman" w:hAnsi="Bookman Old Style" w:cs="Times New Roman"/>
          <w:sz w:val="24"/>
          <w:szCs w:val="24"/>
        </w:rPr>
      </w:pPr>
    </w:p>
    <w:p w:rsidR="004F1587" w:rsidRDefault="00C303A4" w:rsidP="00221111">
      <w:pPr>
        <w:spacing w:after="0" w:line="360" w:lineRule="auto"/>
        <w:ind w:left="720" w:hanging="72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w:t>
      </w:r>
      <w:r w:rsidR="004F1587" w:rsidRPr="004F1587">
        <w:rPr>
          <w:rFonts w:ascii="Bookman Old Style" w:eastAsia="Times New Roman" w:hAnsi="Bookman Old Style" w:cs="Times New Roman"/>
          <w:sz w:val="24"/>
          <w:szCs w:val="24"/>
        </w:rPr>
        <w:t>2)</w:t>
      </w:r>
      <w:r w:rsidR="004F1587" w:rsidRPr="004F1587">
        <w:rPr>
          <w:rFonts w:ascii="Bookman Old Style" w:eastAsia="Times New Roman" w:hAnsi="Bookman Old Style" w:cs="Times New Roman"/>
          <w:sz w:val="24"/>
          <w:szCs w:val="24"/>
        </w:rPr>
        <w:tab/>
        <w:t>[</w:t>
      </w:r>
      <w:proofErr w:type="gramStart"/>
      <w:r w:rsidR="004F1587" w:rsidRPr="004F1587">
        <w:rPr>
          <w:rFonts w:ascii="Bookman Old Style" w:eastAsia="Times New Roman" w:hAnsi="Bookman Old Style" w:cs="Times New Roman"/>
          <w:sz w:val="24"/>
          <w:szCs w:val="24"/>
        </w:rPr>
        <w:t>employer</w:t>
      </w:r>
      <w:proofErr w:type="gramEnd"/>
      <w:r w:rsidR="004F1587" w:rsidRPr="004F1587">
        <w:rPr>
          <w:rFonts w:ascii="Bookman Old Style" w:eastAsia="Times New Roman" w:hAnsi="Bookman Old Style" w:cs="Times New Roman"/>
          <w:sz w:val="24"/>
          <w:szCs w:val="24"/>
        </w:rPr>
        <w:t xml:space="preserve">] failed to exercise reasonable care to take special precautions to address the unusual risk; and </w:t>
      </w:r>
    </w:p>
    <w:p w:rsidR="00221111" w:rsidRPr="004F1587" w:rsidRDefault="00221111" w:rsidP="00221111">
      <w:pPr>
        <w:spacing w:after="0" w:line="360" w:lineRule="auto"/>
        <w:ind w:left="720" w:hanging="720"/>
        <w:jc w:val="both"/>
        <w:rPr>
          <w:rFonts w:ascii="Bookman Old Style" w:eastAsia="Times New Roman" w:hAnsi="Bookman Old Style" w:cs="Times New Roman"/>
          <w:sz w:val="24"/>
          <w:szCs w:val="24"/>
        </w:rPr>
      </w:pPr>
    </w:p>
    <w:p w:rsidR="004F1587" w:rsidRDefault="00C303A4" w:rsidP="00221111">
      <w:pPr>
        <w:spacing w:after="0" w:line="360" w:lineRule="auto"/>
        <w:ind w:left="720" w:hanging="72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w:t>
      </w:r>
      <w:r w:rsidR="004F1587" w:rsidRPr="004F1587">
        <w:rPr>
          <w:rFonts w:ascii="Bookman Old Style" w:eastAsia="Times New Roman" w:hAnsi="Bookman Old Style" w:cs="Times New Roman"/>
          <w:sz w:val="24"/>
          <w:szCs w:val="24"/>
        </w:rPr>
        <w:t>3)</w:t>
      </w:r>
      <w:r w:rsidR="004F1587" w:rsidRPr="004F1587">
        <w:rPr>
          <w:rFonts w:ascii="Bookman Old Style" w:eastAsia="Times New Roman" w:hAnsi="Bookman Old Style" w:cs="Times New Roman"/>
          <w:sz w:val="24"/>
          <w:szCs w:val="24"/>
        </w:rPr>
        <w:tab/>
        <w:t>[</w:t>
      </w:r>
      <w:proofErr w:type="gramStart"/>
      <w:r w:rsidR="004D5EFF">
        <w:rPr>
          <w:rFonts w:ascii="Bookman Old Style" w:eastAsia="Times New Roman" w:hAnsi="Bookman Old Style" w:cs="Times New Roman"/>
          <w:sz w:val="24"/>
          <w:szCs w:val="24"/>
        </w:rPr>
        <w:t>employer</w:t>
      </w:r>
      <w:proofErr w:type="gramEnd"/>
      <w:r w:rsidR="004F1587" w:rsidRPr="004F1587">
        <w:rPr>
          <w:rFonts w:ascii="Bookman Old Style" w:eastAsia="Times New Roman" w:hAnsi="Bookman Old Style" w:cs="Times New Roman"/>
          <w:sz w:val="24"/>
          <w:szCs w:val="24"/>
        </w:rPr>
        <w:t>]</w:t>
      </w:r>
      <w:r w:rsidR="004D5EFF">
        <w:rPr>
          <w:rFonts w:ascii="Bookman Old Style" w:eastAsia="Times New Roman" w:hAnsi="Bookman Old Style" w:cs="Times New Roman"/>
          <w:sz w:val="24"/>
          <w:szCs w:val="24"/>
        </w:rPr>
        <w:t>’s</w:t>
      </w:r>
      <w:r w:rsidR="004F1587" w:rsidRPr="004F1587">
        <w:rPr>
          <w:rFonts w:ascii="Bookman Old Style" w:eastAsia="Times New Roman" w:hAnsi="Bookman Old Style" w:cs="Times New Roman"/>
          <w:sz w:val="24"/>
          <w:szCs w:val="24"/>
        </w:rPr>
        <w:t xml:space="preserve"> failure to use reasonable care to take these special precautions was a substantial factor in causing </w:t>
      </w:r>
      <w:r w:rsidR="00027943">
        <w:rPr>
          <w:rFonts w:ascii="Bookman Old Style" w:eastAsia="Times New Roman" w:hAnsi="Bookman Old Style" w:cs="Times New Roman"/>
          <w:sz w:val="24"/>
          <w:szCs w:val="24"/>
        </w:rPr>
        <w:t xml:space="preserve">the </w:t>
      </w:r>
      <w:r w:rsidR="004F1587" w:rsidRPr="004F1587">
        <w:rPr>
          <w:rFonts w:ascii="Bookman Old Style" w:eastAsia="Times New Roman" w:hAnsi="Bookman Old Style" w:cs="Times New Roman"/>
          <w:sz w:val="24"/>
          <w:szCs w:val="24"/>
        </w:rPr>
        <w:t xml:space="preserve">plaintiff's injuries.  </w:t>
      </w:r>
    </w:p>
    <w:p w:rsidR="00221111" w:rsidRPr="004F1587" w:rsidRDefault="00221111" w:rsidP="00221111">
      <w:pPr>
        <w:spacing w:after="0" w:line="360" w:lineRule="auto"/>
        <w:ind w:left="720" w:hanging="720"/>
        <w:jc w:val="both"/>
        <w:rPr>
          <w:rFonts w:ascii="Bookman Old Style" w:eastAsia="Times New Roman" w:hAnsi="Bookman Old Style" w:cs="Times New Roman"/>
          <w:sz w:val="24"/>
          <w:szCs w:val="24"/>
        </w:rPr>
      </w:pPr>
    </w:p>
    <w:p w:rsidR="00221111" w:rsidRDefault="00221111" w:rsidP="00C303A4">
      <w:pPr>
        <w:spacing w:after="240" w:line="240" w:lineRule="auto"/>
        <w:jc w:val="center"/>
        <w:rPr>
          <w:rFonts w:ascii="Bookman Old Style" w:eastAsia="Times New Roman" w:hAnsi="Bookman Old Style" w:cs="Times New Roman"/>
          <w:b/>
          <w:sz w:val="24"/>
          <w:szCs w:val="24"/>
        </w:rPr>
      </w:pPr>
    </w:p>
    <w:p w:rsidR="004F1587" w:rsidRDefault="00221111" w:rsidP="00221111">
      <w:pPr>
        <w:spacing w:after="0" w:line="240" w:lineRule="auto"/>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Use Note</w:t>
      </w:r>
    </w:p>
    <w:p w:rsidR="00221111" w:rsidRPr="004F1587" w:rsidRDefault="00221111" w:rsidP="00221111">
      <w:pPr>
        <w:spacing w:after="0" w:line="240" w:lineRule="auto"/>
        <w:jc w:val="center"/>
        <w:rPr>
          <w:rFonts w:ascii="Bookman Old Style" w:eastAsia="Times New Roman" w:hAnsi="Bookman Old Style" w:cs="Times New Roman"/>
          <w:b/>
          <w:sz w:val="24"/>
          <w:szCs w:val="24"/>
        </w:rPr>
      </w:pPr>
    </w:p>
    <w:p w:rsidR="004F1587" w:rsidRPr="004F1587" w:rsidRDefault="004F1587" w:rsidP="00221111">
      <w:pPr>
        <w:spacing w:after="0" w:line="240" w:lineRule="auto"/>
        <w:jc w:val="both"/>
        <w:rPr>
          <w:rFonts w:ascii="Bookman Old Style" w:eastAsia="Times New Roman" w:hAnsi="Bookman Old Style" w:cs="Times New Roman"/>
          <w:sz w:val="24"/>
          <w:szCs w:val="24"/>
        </w:rPr>
      </w:pPr>
      <w:r w:rsidRPr="004F1587">
        <w:rPr>
          <w:rFonts w:ascii="Bookman Old Style" w:eastAsia="Times New Roman" w:hAnsi="Bookman Old Style" w:cs="Times New Roman"/>
          <w:sz w:val="24"/>
          <w:szCs w:val="24"/>
        </w:rPr>
        <w:t>This instruction should be used when the plaintiff claims that the employer of an independent contractor is liable for failing to take special precautions to address unusual risks posed by the work of an independent contractor.</w:t>
      </w:r>
    </w:p>
    <w:p w:rsidR="004F1587" w:rsidRPr="004F1587" w:rsidRDefault="004F1587" w:rsidP="00221111">
      <w:pPr>
        <w:spacing w:after="0" w:line="240" w:lineRule="auto"/>
        <w:rPr>
          <w:rFonts w:ascii="Bookman Old Style" w:eastAsia="Times New Roman" w:hAnsi="Bookman Old Style" w:cs="Times New Roman"/>
          <w:sz w:val="24"/>
          <w:szCs w:val="24"/>
        </w:rPr>
      </w:pPr>
    </w:p>
    <w:p w:rsidR="004F1587" w:rsidRDefault="004F1587" w:rsidP="00221111">
      <w:pPr>
        <w:spacing w:after="0" w:line="240" w:lineRule="auto"/>
        <w:rPr>
          <w:rFonts w:ascii="Bookman Old Style" w:eastAsia="Times New Roman" w:hAnsi="Bookman Old Style" w:cs="Times New Roman"/>
          <w:sz w:val="24"/>
          <w:szCs w:val="24"/>
        </w:rPr>
      </w:pPr>
    </w:p>
    <w:p w:rsidR="004F1587" w:rsidRDefault="00221111" w:rsidP="00E6114B">
      <w:pPr>
        <w:spacing w:after="0" w:line="240" w:lineRule="auto"/>
        <w:jc w:val="center"/>
        <w:rPr>
          <w:rFonts w:ascii="Bookman Old Style" w:eastAsia="Times New Roman" w:hAnsi="Bookman Old Style" w:cs="Times New Roman"/>
          <w:b/>
          <w:sz w:val="24"/>
          <w:szCs w:val="24"/>
        </w:rPr>
      </w:pPr>
      <w:r>
        <w:rPr>
          <w:rFonts w:ascii="Bookman Old Style" w:eastAsia="Times New Roman" w:hAnsi="Bookman Old Style" w:cs="Times New Roman"/>
          <w:b/>
          <w:sz w:val="24"/>
          <w:szCs w:val="24"/>
        </w:rPr>
        <w:t>Comment</w:t>
      </w:r>
    </w:p>
    <w:p w:rsidR="00221111" w:rsidRPr="004F1587" w:rsidRDefault="00221111" w:rsidP="00221111">
      <w:pPr>
        <w:spacing w:after="0" w:line="240" w:lineRule="auto"/>
        <w:jc w:val="center"/>
        <w:rPr>
          <w:rFonts w:ascii="Bookman Old Style" w:eastAsia="Times New Roman" w:hAnsi="Bookman Old Style" w:cs="Times New Roman"/>
          <w:b/>
          <w:sz w:val="24"/>
          <w:szCs w:val="24"/>
        </w:rPr>
      </w:pPr>
    </w:p>
    <w:p w:rsidR="004F1587" w:rsidRDefault="004F1587" w:rsidP="00221111">
      <w:pPr>
        <w:spacing w:after="0" w:line="240" w:lineRule="auto"/>
        <w:jc w:val="both"/>
        <w:rPr>
          <w:rFonts w:ascii="Bookman Old Style" w:eastAsia="Times New Roman" w:hAnsi="Bookman Old Style" w:cs="Times New Roman"/>
          <w:sz w:val="24"/>
          <w:szCs w:val="24"/>
        </w:rPr>
      </w:pPr>
      <w:r w:rsidRPr="004F1587">
        <w:rPr>
          <w:rFonts w:ascii="Bookman Old Style" w:eastAsia="Times New Roman" w:hAnsi="Bookman Old Style" w:cs="Times New Roman"/>
          <w:sz w:val="24"/>
          <w:szCs w:val="24"/>
        </w:rPr>
        <w:t xml:space="preserve">This instruction addresses the liability of an employer of an independent contractor when the employer knows or reasonably should know that the work </w:t>
      </w:r>
      <w:r w:rsidRPr="004F1587">
        <w:rPr>
          <w:rFonts w:ascii="Bookman Old Style" w:eastAsia="Times New Roman" w:hAnsi="Bookman Old Style" w:cs="Times New Roman"/>
          <w:sz w:val="24"/>
          <w:szCs w:val="24"/>
        </w:rPr>
        <w:lastRenderedPageBreak/>
        <w:t xml:space="preserve">involves a peculiar risk of physical harm to others unless special precautions are taken.  The employer may be liable for failing to take reasonable care to take these special precautions.  </w:t>
      </w:r>
      <w:proofErr w:type="spellStart"/>
      <w:r w:rsidRPr="004F1587">
        <w:rPr>
          <w:rFonts w:ascii="Bookman Old Style" w:eastAsia="Times New Roman" w:hAnsi="Bookman Old Style" w:cs="Times New Roman"/>
          <w:i/>
          <w:sz w:val="24"/>
          <w:szCs w:val="24"/>
        </w:rPr>
        <w:t>Moloso</w:t>
      </w:r>
      <w:proofErr w:type="spellEnd"/>
      <w:r w:rsidRPr="004F1587">
        <w:rPr>
          <w:rFonts w:ascii="Bookman Old Style" w:eastAsia="Times New Roman" w:hAnsi="Bookman Old Style" w:cs="Times New Roman"/>
          <w:i/>
          <w:sz w:val="24"/>
          <w:szCs w:val="24"/>
        </w:rPr>
        <w:t xml:space="preserve"> v. State</w:t>
      </w:r>
      <w:r w:rsidRPr="004F1587">
        <w:rPr>
          <w:rFonts w:ascii="Bookman Old Style" w:eastAsia="Times New Roman" w:hAnsi="Bookman Old Style" w:cs="Times New Roman"/>
          <w:sz w:val="24"/>
          <w:szCs w:val="24"/>
        </w:rPr>
        <w:t xml:space="preserve">, 644 P.2d 205, 214-15 (Alaska 1982) (following Restatement (Second) of Torts </w:t>
      </w:r>
      <w:r w:rsidRPr="004F1587">
        <w:rPr>
          <w:rFonts w:ascii="Bookman Old Style" w:eastAsia="Times New Roman" w:hAnsi="Bookman Old Style" w:cs="Calibri"/>
          <w:sz w:val="24"/>
          <w:szCs w:val="24"/>
        </w:rPr>
        <w:t>§ </w:t>
      </w:r>
      <w:r w:rsidRPr="004F1587">
        <w:rPr>
          <w:rFonts w:ascii="Bookman Old Style" w:eastAsia="Times New Roman" w:hAnsi="Bookman Old Style" w:cs="Times New Roman"/>
          <w:sz w:val="24"/>
          <w:szCs w:val="24"/>
        </w:rPr>
        <w:t xml:space="preserve">413). </w:t>
      </w:r>
    </w:p>
    <w:p w:rsidR="004D5EFF" w:rsidRPr="004F1587" w:rsidRDefault="004D5EFF" w:rsidP="00221111">
      <w:pPr>
        <w:spacing w:after="0" w:line="240" w:lineRule="auto"/>
        <w:jc w:val="both"/>
        <w:rPr>
          <w:rFonts w:ascii="Bookman Old Style" w:eastAsia="Times New Roman" w:hAnsi="Bookman Old Style" w:cs="Times New Roman"/>
          <w:sz w:val="24"/>
          <w:szCs w:val="24"/>
        </w:rPr>
      </w:pPr>
    </w:p>
    <w:p w:rsidR="00C60AF8" w:rsidRPr="004F1587" w:rsidRDefault="004F1587" w:rsidP="00221111">
      <w:pPr>
        <w:spacing w:after="0" w:line="240" w:lineRule="auto"/>
        <w:jc w:val="both"/>
        <w:rPr>
          <w:rFonts w:ascii="Bookman Old Style" w:hAnsi="Bookman Old Style"/>
          <w:sz w:val="24"/>
          <w:szCs w:val="24"/>
        </w:rPr>
      </w:pPr>
      <w:r w:rsidRPr="004F1587">
        <w:rPr>
          <w:rFonts w:ascii="Bookman Old Style" w:eastAsia="Times New Roman" w:hAnsi="Bookman Old Style" w:cs="Times New Roman"/>
          <w:sz w:val="24"/>
          <w:szCs w:val="24"/>
        </w:rPr>
        <w:t xml:space="preserve">Peculiar risks of harm must be risks that are not routinely encountered in the contractor’s line of work.  </w:t>
      </w:r>
      <w:proofErr w:type="spellStart"/>
      <w:proofErr w:type="gramStart"/>
      <w:r w:rsidRPr="004F1587">
        <w:rPr>
          <w:rFonts w:ascii="Bookman Old Style" w:eastAsia="Times New Roman" w:hAnsi="Bookman Old Style" w:cs="Times New Roman"/>
          <w:i/>
          <w:sz w:val="24"/>
          <w:szCs w:val="24"/>
        </w:rPr>
        <w:t>Sievers</w:t>
      </w:r>
      <w:proofErr w:type="spellEnd"/>
      <w:r w:rsidRPr="004F1587">
        <w:rPr>
          <w:rFonts w:ascii="Bookman Old Style" w:eastAsia="Times New Roman" w:hAnsi="Bookman Old Style" w:cs="Times New Roman"/>
          <w:i/>
          <w:sz w:val="24"/>
          <w:szCs w:val="24"/>
        </w:rPr>
        <w:t xml:space="preserve"> v. McClure</w:t>
      </w:r>
      <w:r w:rsidRPr="004F1587">
        <w:rPr>
          <w:rFonts w:ascii="Bookman Old Style" w:eastAsia="Times New Roman" w:hAnsi="Bookman Old Style" w:cs="Times New Roman"/>
          <w:sz w:val="24"/>
          <w:szCs w:val="24"/>
        </w:rPr>
        <w:t>, 746 P.2d 885, 890 (Alaska 1987).</w:t>
      </w:r>
      <w:proofErr w:type="gramEnd"/>
      <w:r w:rsidRPr="004F1587">
        <w:rPr>
          <w:rFonts w:ascii="Bookman Old Style" w:eastAsia="Times New Roman" w:hAnsi="Bookman Old Style" w:cs="Times New Roman"/>
          <w:sz w:val="24"/>
          <w:szCs w:val="24"/>
        </w:rPr>
        <w:t xml:space="preserve">  As an illustration, roofing contractors routinely encounter the risk that a roofer will fall off a roof.  Consequently, this is not a “peculiar harm” for these contractors, and the contractor’s </w:t>
      </w:r>
      <w:proofErr w:type="gramStart"/>
      <w:r w:rsidRPr="004F1587">
        <w:rPr>
          <w:rFonts w:ascii="Bookman Old Style" w:eastAsia="Times New Roman" w:hAnsi="Bookman Old Style" w:cs="Times New Roman"/>
          <w:sz w:val="24"/>
          <w:szCs w:val="24"/>
        </w:rPr>
        <w:t>employer  is</w:t>
      </w:r>
      <w:proofErr w:type="gramEnd"/>
      <w:r w:rsidRPr="004F1587">
        <w:rPr>
          <w:rFonts w:ascii="Bookman Old Style" w:eastAsia="Times New Roman" w:hAnsi="Bookman Old Style" w:cs="Times New Roman"/>
          <w:sz w:val="24"/>
          <w:szCs w:val="24"/>
        </w:rPr>
        <w:t xml:space="preserve"> not liable for failing to take precautions to address this risk.  </w:t>
      </w:r>
      <w:r w:rsidRPr="004F1587">
        <w:rPr>
          <w:rFonts w:ascii="Bookman Old Style" w:eastAsia="Times New Roman" w:hAnsi="Bookman Old Style" w:cs="Times New Roman"/>
          <w:i/>
          <w:sz w:val="24"/>
          <w:szCs w:val="24"/>
        </w:rPr>
        <w:t>Id</w:t>
      </w:r>
      <w:r w:rsidRPr="004F1587">
        <w:rPr>
          <w:rFonts w:ascii="Bookman Old Style" w:eastAsia="Times New Roman" w:hAnsi="Bookman Old Style" w:cs="Times New Roman"/>
          <w:sz w:val="24"/>
          <w:szCs w:val="24"/>
        </w:rPr>
        <w:t xml:space="preserve">.  </w:t>
      </w:r>
      <w:r w:rsidRPr="004F1587">
        <w:rPr>
          <w:rFonts w:ascii="Bookman Old Style" w:eastAsia="Times New Roman" w:hAnsi="Bookman Old Style" w:cs="Times New Roman"/>
          <w:i/>
          <w:sz w:val="24"/>
          <w:szCs w:val="24"/>
        </w:rPr>
        <w:t xml:space="preserve">Cf. </w:t>
      </w:r>
      <w:proofErr w:type="spellStart"/>
      <w:r w:rsidRPr="004F1587">
        <w:rPr>
          <w:rFonts w:ascii="Bookman Old Style" w:eastAsia="Times New Roman" w:hAnsi="Bookman Old Style" w:cs="Times New Roman"/>
          <w:i/>
          <w:sz w:val="24"/>
          <w:szCs w:val="24"/>
        </w:rPr>
        <w:t>Matomco</w:t>
      </w:r>
      <w:proofErr w:type="spellEnd"/>
      <w:r w:rsidRPr="004F1587">
        <w:rPr>
          <w:rFonts w:ascii="Bookman Old Style" w:eastAsia="Times New Roman" w:hAnsi="Bookman Old Style" w:cs="Times New Roman"/>
          <w:i/>
          <w:sz w:val="24"/>
          <w:szCs w:val="24"/>
        </w:rPr>
        <w:t xml:space="preserve"> Oil Co. v. Arctic Mechanical, Inc.</w:t>
      </w:r>
      <w:r w:rsidRPr="004F1587">
        <w:rPr>
          <w:rFonts w:ascii="Bookman Old Style" w:eastAsia="Times New Roman" w:hAnsi="Bookman Old Style" w:cs="Times New Roman"/>
          <w:sz w:val="24"/>
          <w:szCs w:val="24"/>
        </w:rPr>
        <w:t>, 796 P.2d 1336 (Alaska 1990) (recognizing an issue of fact regarding tank owner’s obligation to inform a tank repair contractor regarding the risk arising from the owner’s prior use of tank to store explosive fuel).</w:t>
      </w:r>
    </w:p>
    <w:sectPr w:rsidR="00C60AF8" w:rsidRPr="004F1587" w:rsidSect="00FC40CD">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3A4" w:rsidRDefault="00C303A4" w:rsidP="00C303A4">
      <w:pPr>
        <w:spacing w:after="0" w:line="240" w:lineRule="auto"/>
      </w:pPr>
      <w:r>
        <w:separator/>
      </w:r>
    </w:p>
  </w:endnote>
  <w:endnote w:type="continuationSeparator" w:id="0">
    <w:p w:rsidR="00C303A4" w:rsidRDefault="00C303A4" w:rsidP="00C30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943" w:rsidRPr="00027943" w:rsidRDefault="00AB625C" w:rsidP="00027943">
    <w:pPr>
      <w:pStyle w:val="Footer"/>
      <w:rPr>
        <w:rFonts w:ascii="Bookman Old Style" w:hAnsi="Bookman Old Style"/>
        <w:sz w:val="22"/>
        <w:szCs w:val="22"/>
      </w:rPr>
    </w:pPr>
    <w:r>
      <w:rPr>
        <w:rFonts w:ascii="Bookman Old Style" w:hAnsi="Bookman Old Style"/>
        <w:sz w:val="22"/>
        <w:szCs w:val="22"/>
      </w:rPr>
      <w:t>2015</w:t>
    </w:r>
    <w:r w:rsidR="00027943" w:rsidRPr="00027943">
      <w:rPr>
        <w:rFonts w:ascii="Bookman Old Style" w:hAnsi="Bookman Old Style"/>
        <w:sz w:val="22"/>
        <w:szCs w:val="22"/>
      </w:rPr>
      <w:tab/>
    </w:r>
    <w:r w:rsidR="00027943" w:rsidRPr="00027943">
      <w:rPr>
        <w:rFonts w:ascii="Bookman Old Style" w:hAnsi="Bookman Old Style"/>
        <w:sz w:val="22"/>
        <w:szCs w:val="22"/>
      </w:rPr>
      <w:tab/>
      <w:t>23.06-</w:t>
    </w:r>
    <w:r w:rsidR="00027943" w:rsidRPr="00027943">
      <w:rPr>
        <w:rFonts w:ascii="Bookman Old Style" w:hAnsi="Bookman Old Style"/>
        <w:sz w:val="22"/>
        <w:szCs w:val="22"/>
      </w:rPr>
      <w:fldChar w:fldCharType="begin"/>
    </w:r>
    <w:r w:rsidR="00027943" w:rsidRPr="00027943">
      <w:rPr>
        <w:rFonts w:ascii="Bookman Old Style" w:hAnsi="Bookman Old Style"/>
        <w:sz w:val="22"/>
        <w:szCs w:val="22"/>
      </w:rPr>
      <w:instrText xml:space="preserve"> PAGE   \* MERGEFORMAT </w:instrText>
    </w:r>
    <w:r w:rsidR="00027943" w:rsidRPr="00027943">
      <w:rPr>
        <w:rFonts w:ascii="Bookman Old Style" w:hAnsi="Bookman Old Style"/>
        <w:sz w:val="22"/>
        <w:szCs w:val="22"/>
      </w:rPr>
      <w:fldChar w:fldCharType="separate"/>
    </w:r>
    <w:r w:rsidR="007508C1">
      <w:rPr>
        <w:rFonts w:ascii="Bookman Old Style" w:hAnsi="Bookman Old Style"/>
        <w:noProof/>
        <w:sz w:val="22"/>
        <w:szCs w:val="22"/>
      </w:rPr>
      <w:t>2</w:t>
    </w:r>
    <w:r w:rsidR="00027943" w:rsidRPr="00027943">
      <w:rPr>
        <w:rFonts w:ascii="Bookman Old Style" w:hAnsi="Bookman Old Style"/>
        <w:noProof/>
        <w:sz w:val="22"/>
        <w:szCs w:val="22"/>
      </w:rPr>
      <w:fldChar w:fldCharType="end"/>
    </w:r>
  </w:p>
  <w:p w:rsidR="00E3141C" w:rsidRPr="004172C2" w:rsidRDefault="00650B96" w:rsidP="004172C2">
    <w:pPr>
      <w:pStyle w:val="Footer"/>
    </w:pPr>
    <w:r w:rsidRPr="004172C2">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2C2" w:rsidRPr="00027943" w:rsidRDefault="00AB625C">
    <w:pPr>
      <w:pStyle w:val="Footer"/>
      <w:rPr>
        <w:rFonts w:ascii="Bookman Old Style" w:hAnsi="Bookman Old Style"/>
        <w:sz w:val="22"/>
        <w:szCs w:val="22"/>
      </w:rPr>
    </w:pPr>
    <w:r>
      <w:rPr>
        <w:rFonts w:ascii="Bookman Old Style" w:hAnsi="Bookman Old Style"/>
        <w:sz w:val="22"/>
        <w:szCs w:val="22"/>
      </w:rPr>
      <w:t>2015</w:t>
    </w:r>
    <w:r w:rsidR="007508C1">
      <w:rPr>
        <w:rFonts w:ascii="Bookman Old Style" w:hAnsi="Bookman Old Style"/>
        <w:sz w:val="22"/>
        <w:szCs w:val="22"/>
      </w:rPr>
      <w:tab/>
    </w:r>
    <w:r w:rsidR="007508C1">
      <w:rPr>
        <w:rFonts w:ascii="Bookman Old Style" w:hAnsi="Bookman Old Style"/>
        <w:sz w:val="22"/>
        <w:szCs w:val="22"/>
      </w:rPr>
      <w:tab/>
      <w:t xml:space="preserve">23.06 - </w:t>
    </w:r>
    <w:r w:rsidR="007508C1" w:rsidRPr="007508C1">
      <w:rPr>
        <w:rFonts w:ascii="Bookman Old Style" w:hAnsi="Bookman Old Style"/>
        <w:sz w:val="22"/>
        <w:szCs w:val="22"/>
      </w:rPr>
      <w:t xml:space="preserve">Page </w:t>
    </w:r>
    <w:r w:rsidR="007508C1" w:rsidRPr="007508C1">
      <w:rPr>
        <w:rFonts w:ascii="Bookman Old Style" w:hAnsi="Bookman Old Style"/>
        <w:sz w:val="22"/>
        <w:szCs w:val="22"/>
      </w:rPr>
      <w:fldChar w:fldCharType="begin"/>
    </w:r>
    <w:r w:rsidR="007508C1" w:rsidRPr="007508C1">
      <w:rPr>
        <w:rFonts w:ascii="Bookman Old Style" w:hAnsi="Bookman Old Style"/>
        <w:sz w:val="22"/>
        <w:szCs w:val="22"/>
      </w:rPr>
      <w:instrText xml:space="preserve"> PAGE  \* Arabic  \* MERGEFORMAT </w:instrText>
    </w:r>
    <w:r w:rsidR="007508C1" w:rsidRPr="007508C1">
      <w:rPr>
        <w:rFonts w:ascii="Bookman Old Style" w:hAnsi="Bookman Old Style"/>
        <w:sz w:val="22"/>
        <w:szCs w:val="22"/>
      </w:rPr>
      <w:fldChar w:fldCharType="separate"/>
    </w:r>
    <w:r w:rsidR="007508C1">
      <w:rPr>
        <w:rFonts w:ascii="Bookman Old Style" w:hAnsi="Bookman Old Style"/>
        <w:noProof/>
        <w:sz w:val="22"/>
        <w:szCs w:val="22"/>
      </w:rPr>
      <w:t>1</w:t>
    </w:r>
    <w:r w:rsidR="007508C1" w:rsidRPr="007508C1">
      <w:rPr>
        <w:rFonts w:ascii="Bookman Old Style" w:hAnsi="Bookman Old Style"/>
        <w:sz w:val="22"/>
        <w:szCs w:val="22"/>
      </w:rPr>
      <w:fldChar w:fldCharType="end"/>
    </w:r>
    <w:r w:rsidR="007508C1" w:rsidRPr="007508C1">
      <w:rPr>
        <w:rFonts w:ascii="Bookman Old Style" w:hAnsi="Bookman Old Style"/>
        <w:sz w:val="22"/>
        <w:szCs w:val="22"/>
      </w:rPr>
      <w:t xml:space="preserve"> of </w:t>
    </w:r>
    <w:r w:rsidR="007508C1" w:rsidRPr="007508C1">
      <w:rPr>
        <w:rFonts w:ascii="Bookman Old Style" w:hAnsi="Bookman Old Style"/>
        <w:sz w:val="22"/>
        <w:szCs w:val="22"/>
      </w:rPr>
      <w:fldChar w:fldCharType="begin"/>
    </w:r>
    <w:r w:rsidR="007508C1" w:rsidRPr="007508C1">
      <w:rPr>
        <w:rFonts w:ascii="Bookman Old Style" w:hAnsi="Bookman Old Style"/>
        <w:sz w:val="22"/>
        <w:szCs w:val="22"/>
      </w:rPr>
      <w:instrText xml:space="preserve"> NUMPAGES  \* Arabic  \* MERGEFORMAT </w:instrText>
    </w:r>
    <w:r w:rsidR="007508C1" w:rsidRPr="007508C1">
      <w:rPr>
        <w:rFonts w:ascii="Bookman Old Style" w:hAnsi="Bookman Old Style"/>
        <w:sz w:val="22"/>
        <w:szCs w:val="22"/>
      </w:rPr>
      <w:fldChar w:fldCharType="separate"/>
    </w:r>
    <w:r w:rsidR="007508C1">
      <w:rPr>
        <w:rFonts w:ascii="Bookman Old Style" w:hAnsi="Bookman Old Style"/>
        <w:noProof/>
        <w:sz w:val="22"/>
        <w:szCs w:val="22"/>
      </w:rPr>
      <w:t>2</w:t>
    </w:r>
    <w:r w:rsidR="007508C1" w:rsidRPr="007508C1">
      <w:rPr>
        <w:rFonts w:ascii="Bookman Old Style" w:hAnsi="Bookman Old Style"/>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3A4" w:rsidRDefault="00C303A4" w:rsidP="00C303A4">
      <w:pPr>
        <w:spacing w:after="0" w:line="240" w:lineRule="auto"/>
      </w:pPr>
      <w:r>
        <w:separator/>
      </w:r>
    </w:p>
  </w:footnote>
  <w:footnote w:type="continuationSeparator" w:id="0">
    <w:p w:rsidR="00C303A4" w:rsidRDefault="00C303A4" w:rsidP="00C303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87"/>
    <w:rsid w:val="00027943"/>
    <w:rsid w:val="00221111"/>
    <w:rsid w:val="0034140C"/>
    <w:rsid w:val="004172C2"/>
    <w:rsid w:val="004629A7"/>
    <w:rsid w:val="004D5EFF"/>
    <w:rsid w:val="004F1587"/>
    <w:rsid w:val="00650B96"/>
    <w:rsid w:val="007508C1"/>
    <w:rsid w:val="008A672C"/>
    <w:rsid w:val="008E4636"/>
    <w:rsid w:val="00A15289"/>
    <w:rsid w:val="00AB625C"/>
    <w:rsid w:val="00C303A4"/>
    <w:rsid w:val="00C60AF8"/>
    <w:rsid w:val="00D73733"/>
    <w:rsid w:val="00E6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1587"/>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4F1587"/>
    <w:rPr>
      <w:rFonts w:ascii="Times New Roman" w:hAnsi="Times New Roman"/>
      <w:sz w:val="24"/>
      <w:szCs w:val="24"/>
    </w:rPr>
  </w:style>
  <w:style w:type="paragraph" w:styleId="Footer">
    <w:name w:val="footer"/>
    <w:basedOn w:val="Normal"/>
    <w:link w:val="FooterChar"/>
    <w:uiPriority w:val="99"/>
    <w:rsid w:val="004F1587"/>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4F1587"/>
    <w:rPr>
      <w:rFonts w:ascii="Times New Roman" w:hAnsi="Times New Roman"/>
      <w:sz w:val="24"/>
      <w:szCs w:val="24"/>
    </w:rPr>
  </w:style>
  <w:style w:type="character" w:customStyle="1" w:styleId="zzmpTrailerItem">
    <w:name w:val="zzmpTrailerItem"/>
    <w:rsid w:val="004F1587"/>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2211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F1587"/>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4F1587"/>
    <w:rPr>
      <w:rFonts w:ascii="Times New Roman" w:hAnsi="Times New Roman"/>
      <w:sz w:val="24"/>
      <w:szCs w:val="24"/>
    </w:rPr>
  </w:style>
  <w:style w:type="paragraph" w:styleId="Footer">
    <w:name w:val="footer"/>
    <w:basedOn w:val="Normal"/>
    <w:link w:val="FooterChar"/>
    <w:uiPriority w:val="99"/>
    <w:rsid w:val="004F1587"/>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4F1587"/>
    <w:rPr>
      <w:rFonts w:ascii="Times New Roman" w:hAnsi="Times New Roman"/>
      <w:sz w:val="24"/>
      <w:szCs w:val="24"/>
    </w:rPr>
  </w:style>
  <w:style w:type="character" w:customStyle="1" w:styleId="zzmpTrailerItem">
    <w:name w:val="zzmpTrailerItem"/>
    <w:rsid w:val="004F1587"/>
    <w:rPr>
      <w:rFonts w:ascii="Times New Roman" w:hAnsi="Times New Roman" w:cs="Times New Roman"/>
      <w:dstrike w:val="0"/>
      <w:noProof/>
      <w:color w:val="auto"/>
      <w:spacing w:val="0"/>
      <w:position w:val="0"/>
      <w:sz w:val="16"/>
      <w:szCs w:val="16"/>
      <w:u w:val="none"/>
      <w:effect w:val="none"/>
      <w:vertAlign w:val="baseline"/>
    </w:rPr>
  </w:style>
  <w:style w:type="paragraph" w:styleId="ListParagraph">
    <w:name w:val="List Paragraph"/>
    <w:basedOn w:val="Normal"/>
    <w:uiPriority w:val="34"/>
    <w:qFormat/>
    <w:rsid w:val="002211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Johnson</dc:creator>
  <cp:lastModifiedBy>Windows User</cp:lastModifiedBy>
  <cp:revision>9</cp:revision>
  <cp:lastPrinted>2014-06-11T19:42:00Z</cp:lastPrinted>
  <dcterms:created xsi:type="dcterms:W3CDTF">2014-12-10T21:57:00Z</dcterms:created>
  <dcterms:modified xsi:type="dcterms:W3CDTF">2015-12-29T21:48:00Z</dcterms:modified>
</cp:coreProperties>
</file>