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DC2A" w14:textId="4EAB0EE5" w:rsidR="00064C85" w:rsidRDefault="005B3B96" w:rsidP="00FD3ACF">
      <w:pPr>
        <w:pStyle w:val="BodyText"/>
        <w:spacing w:after="0" w:line="360" w:lineRule="auto"/>
        <w:jc w:val="both"/>
        <w:rPr>
          <w:b/>
          <w:sz w:val="28"/>
          <w:szCs w:val="28"/>
        </w:rPr>
      </w:pPr>
      <w:r w:rsidRPr="00834C39">
        <w:rPr>
          <w:b/>
          <w:sz w:val="28"/>
          <w:szCs w:val="28"/>
        </w:rPr>
        <w:t>24.</w:t>
      </w:r>
      <w:r w:rsidR="00355114" w:rsidRPr="00834C39">
        <w:rPr>
          <w:b/>
          <w:sz w:val="28"/>
          <w:szCs w:val="28"/>
        </w:rPr>
        <w:t>01B</w:t>
      </w:r>
      <w:r w:rsidR="00E659C2" w:rsidRPr="00834C39">
        <w:rPr>
          <w:b/>
          <w:sz w:val="28"/>
          <w:szCs w:val="28"/>
        </w:rPr>
        <w:tab/>
      </w:r>
      <w:r w:rsidR="00355114" w:rsidRPr="00834C39">
        <w:rPr>
          <w:b/>
          <w:sz w:val="28"/>
          <w:szCs w:val="28"/>
        </w:rPr>
        <w:t>PROMISSORY ESTOPPEL</w:t>
      </w:r>
    </w:p>
    <w:p w14:paraId="13673AE4" w14:textId="77777777" w:rsidR="00FD3ACF" w:rsidRPr="00834C39" w:rsidRDefault="00FD3ACF" w:rsidP="00FD3ACF">
      <w:pPr>
        <w:pStyle w:val="BodyText"/>
        <w:spacing w:after="0" w:line="360" w:lineRule="auto"/>
        <w:jc w:val="both"/>
        <w:rPr>
          <w:b/>
          <w:sz w:val="28"/>
          <w:szCs w:val="28"/>
        </w:rPr>
      </w:pPr>
    </w:p>
    <w:p w14:paraId="4EA90F04" w14:textId="12F235B4" w:rsidR="00AB3E5C" w:rsidRDefault="00AB3E5C" w:rsidP="000464E2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[Plaintiff] claims that [defendant] </w:t>
      </w:r>
      <w:r w:rsidR="00EB79C1" w:rsidRPr="00834C39">
        <w:rPr>
          <w:sz w:val="28"/>
          <w:szCs w:val="28"/>
        </w:rPr>
        <w:t xml:space="preserve">has a legal obligation to pay [plaintiff] because [defendant] made a promise to [plaintiff], and [plaintiff] </w:t>
      </w:r>
      <w:proofErr w:type="gramStart"/>
      <w:r w:rsidR="00EB79C1" w:rsidRPr="00834C39">
        <w:rPr>
          <w:sz w:val="28"/>
          <w:szCs w:val="28"/>
        </w:rPr>
        <w:t>took action</w:t>
      </w:r>
      <w:proofErr w:type="gramEnd"/>
      <w:r w:rsidR="00EB79C1" w:rsidRPr="00834C39">
        <w:rPr>
          <w:sz w:val="28"/>
          <w:szCs w:val="28"/>
        </w:rPr>
        <w:t xml:space="preserve"> in reliance on [defendant’s] promise.</w:t>
      </w:r>
    </w:p>
    <w:p w14:paraId="7102F3DC" w14:textId="77777777" w:rsidR="000464E2" w:rsidRPr="00834C39" w:rsidRDefault="000464E2" w:rsidP="000464E2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589F0EC1" w14:textId="197157EE" w:rsidR="00EB79C1" w:rsidRDefault="00EB79C1" w:rsidP="000464E2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34C39">
        <w:rPr>
          <w:sz w:val="28"/>
          <w:szCs w:val="28"/>
        </w:rPr>
        <w:t>In order to decide in favor of [plaintiff] on this claim, you must find that each of the following elements is more likely true than not true:</w:t>
      </w:r>
    </w:p>
    <w:p w14:paraId="2C470D05" w14:textId="77777777" w:rsidR="000464E2" w:rsidRPr="00834C39" w:rsidRDefault="000464E2" w:rsidP="000464E2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7810D492" w14:textId="16156EBD" w:rsidR="00064C85" w:rsidRDefault="00124913" w:rsidP="00B16820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4C39">
        <w:rPr>
          <w:sz w:val="28"/>
          <w:szCs w:val="28"/>
        </w:rPr>
        <w:t>[Defendant] made a promise to [plaintiff] using precise language and stating clear and definite terms</w:t>
      </w:r>
      <w:r w:rsidR="00834C39">
        <w:rPr>
          <w:sz w:val="28"/>
          <w:szCs w:val="28"/>
        </w:rPr>
        <w:t>;</w:t>
      </w:r>
    </w:p>
    <w:p w14:paraId="30BFB0F7" w14:textId="3A656C73" w:rsidR="00124913" w:rsidRDefault="00FD3ACF" w:rsidP="00FD3ACF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ACF">
        <w:rPr>
          <w:sz w:val="28"/>
          <w:szCs w:val="28"/>
        </w:rPr>
        <w:t xml:space="preserve"> </w:t>
      </w:r>
      <w:r w:rsidR="003A42F8" w:rsidRPr="00FD3ACF">
        <w:rPr>
          <w:sz w:val="28"/>
          <w:szCs w:val="28"/>
        </w:rPr>
        <w:t>[D</w:t>
      </w:r>
      <w:r w:rsidR="00124913" w:rsidRPr="00FD3ACF">
        <w:rPr>
          <w:sz w:val="28"/>
          <w:szCs w:val="28"/>
        </w:rPr>
        <w:t>efendant’s</w:t>
      </w:r>
      <w:r w:rsidR="00A330AE" w:rsidRPr="00FD3ACF">
        <w:rPr>
          <w:sz w:val="28"/>
          <w:szCs w:val="28"/>
        </w:rPr>
        <w:t>]</w:t>
      </w:r>
      <w:r w:rsidR="00124913" w:rsidRPr="00FD3ACF">
        <w:rPr>
          <w:sz w:val="28"/>
          <w:szCs w:val="28"/>
        </w:rPr>
        <w:t xml:space="preserve"> promise demonstrated </w:t>
      </w:r>
      <w:r w:rsidR="00E60037" w:rsidRPr="00FD3ACF">
        <w:rPr>
          <w:sz w:val="28"/>
          <w:szCs w:val="28"/>
        </w:rPr>
        <w:t>a</w:t>
      </w:r>
      <w:r w:rsidR="00124913" w:rsidRPr="00FD3ACF">
        <w:rPr>
          <w:sz w:val="28"/>
          <w:szCs w:val="28"/>
        </w:rPr>
        <w:t xml:space="preserve"> </w:t>
      </w:r>
      <w:r w:rsidR="00E44FDD" w:rsidRPr="00FD3ACF">
        <w:rPr>
          <w:sz w:val="28"/>
          <w:szCs w:val="28"/>
        </w:rPr>
        <w:t>clear</w:t>
      </w:r>
      <w:r w:rsidR="00124913" w:rsidRPr="00FD3ACF">
        <w:rPr>
          <w:sz w:val="28"/>
          <w:szCs w:val="28"/>
        </w:rPr>
        <w:t xml:space="preserve"> intent to be </w:t>
      </w:r>
      <w:r w:rsidR="000679C0" w:rsidRPr="00FD3ACF">
        <w:rPr>
          <w:sz w:val="28"/>
          <w:szCs w:val="28"/>
        </w:rPr>
        <w:t>bound by the promise</w:t>
      </w:r>
      <w:r w:rsidR="00834C39" w:rsidRPr="00FD3ACF">
        <w:rPr>
          <w:sz w:val="28"/>
          <w:szCs w:val="28"/>
        </w:rPr>
        <w:t>;</w:t>
      </w:r>
    </w:p>
    <w:p w14:paraId="6947F04C" w14:textId="77FC4532" w:rsidR="000679C0" w:rsidRDefault="00A330AE" w:rsidP="00FD3ACF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ACF">
        <w:rPr>
          <w:sz w:val="28"/>
          <w:szCs w:val="28"/>
        </w:rPr>
        <w:t>[D</w:t>
      </w:r>
      <w:r w:rsidR="000679C0" w:rsidRPr="00FD3ACF">
        <w:rPr>
          <w:sz w:val="28"/>
          <w:szCs w:val="28"/>
        </w:rPr>
        <w:t>efendant</w:t>
      </w:r>
      <w:r w:rsidRPr="00FD3ACF">
        <w:rPr>
          <w:sz w:val="28"/>
          <w:szCs w:val="28"/>
        </w:rPr>
        <w:t>]</w:t>
      </w:r>
      <w:r w:rsidR="000679C0" w:rsidRPr="00FD3ACF">
        <w:rPr>
          <w:sz w:val="28"/>
          <w:szCs w:val="28"/>
        </w:rPr>
        <w:t xml:space="preserve"> expected, or reasonably should have expected, that </w:t>
      </w:r>
      <w:r w:rsidRPr="00FD3ACF">
        <w:rPr>
          <w:sz w:val="28"/>
          <w:szCs w:val="28"/>
        </w:rPr>
        <w:t>[plaintiff]</w:t>
      </w:r>
      <w:r w:rsidR="000679C0" w:rsidRPr="00FD3ACF">
        <w:rPr>
          <w:sz w:val="28"/>
          <w:szCs w:val="28"/>
        </w:rPr>
        <w:t xml:space="preserve"> would </w:t>
      </w:r>
      <w:r w:rsidR="003A42F8" w:rsidRPr="00FD3ACF">
        <w:rPr>
          <w:sz w:val="28"/>
          <w:szCs w:val="28"/>
        </w:rPr>
        <w:t xml:space="preserve">act </w:t>
      </w:r>
      <w:r w:rsidR="000679C0" w:rsidRPr="00FD3ACF">
        <w:rPr>
          <w:sz w:val="28"/>
          <w:szCs w:val="28"/>
        </w:rPr>
        <w:t>in reliance on the promise</w:t>
      </w:r>
      <w:r w:rsidR="00834C39" w:rsidRPr="00FD3ACF">
        <w:rPr>
          <w:sz w:val="28"/>
          <w:szCs w:val="28"/>
        </w:rPr>
        <w:t>;</w:t>
      </w:r>
    </w:p>
    <w:p w14:paraId="447B0CED" w14:textId="77777777" w:rsidR="00FD3ACF" w:rsidRDefault="000679C0" w:rsidP="00FD3ACF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D3ACF">
        <w:rPr>
          <w:sz w:val="28"/>
          <w:szCs w:val="28"/>
        </w:rPr>
        <w:t>[Pla</w:t>
      </w:r>
      <w:r w:rsidR="00581849" w:rsidRPr="00FD3ACF">
        <w:rPr>
          <w:sz w:val="28"/>
          <w:szCs w:val="28"/>
        </w:rPr>
        <w:t>i</w:t>
      </w:r>
      <w:r w:rsidRPr="00FD3ACF">
        <w:rPr>
          <w:sz w:val="28"/>
          <w:szCs w:val="28"/>
        </w:rPr>
        <w:t>nt</w:t>
      </w:r>
      <w:r w:rsidR="00BB6645" w:rsidRPr="00FD3ACF">
        <w:rPr>
          <w:sz w:val="28"/>
          <w:szCs w:val="28"/>
        </w:rPr>
        <w:t>i</w:t>
      </w:r>
      <w:r w:rsidRPr="00FD3ACF">
        <w:rPr>
          <w:sz w:val="28"/>
          <w:szCs w:val="28"/>
        </w:rPr>
        <w:t>ff] substantially chang</w:t>
      </w:r>
      <w:r w:rsidR="00DE0BF6" w:rsidRPr="00FD3ACF">
        <w:rPr>
          <w:sz w:val="28"/>
          <w:szCs w:val="28"/>
        </w:rPr>
        <w:t>ed</w:t>
      </w:r>
      <w:r w:rsidRPr="00FD3ACF">
        <w:rPr>
          <w:sz w:val="28"/>
          <w:szCs w:val="28"/>
        </w:rPr>
        <w:t xml:space="preserve"> [his </w:t>
      </w:r>
      <w:proofErr w:type="spellStart"/>
      <w:r w:rsidRPr="00FD3ACF">
        <w:rPr>
          <w:sz w:val="28"/>
          <w:szCs w:val="28"/>
        </w:rPr>
        <w:t>her</w:t>
      </w:r>
      <w:proofErr w:type="spellEnd"/>
      <w:r w:rsidRPr="00FD3ACF">
        <w:rPr>
          <w:sz w:val="28"/>
          <w:szCs w:val="28"/>
        </w:rPr>
        <w:t xml:space="preserve"> its] position</w:t>
      </w:r>
      <w:r w:rsidR="00581849" w:rsidRPr="00FD3ACF">
        <w:rPr>
          <w:sz w:val="28"/>
          <w:szCs w:val="28"/>
        </w:rPr>
        <w:t xml:space="preserve"> in reliance on [defendant’s] promise</w:t>
      </w:r>
      <w:r w:rsidR="00AB3E5C" w:rsidRPr="00FD3ACF">
        <w:rPr>
          <w:sz w:val="28"/>
          <w:szCs w:val="28"/>
        </w:rPr>
        <w:t>; and</w:t>
      </w:r>
    </w:p>
    <w:p w14:paraId="274955E1" w14:textId="144EFDAC" w:rsidR="000679C0" w:rsidRDefault="000679C0" w:rsidP="000464E2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FD3ACF">
        <w:rPr>
          <w:sz w:val="28"/>
          <w:szCs w:val="28"/>
        </w:rPr>
        <w:t xml:space="preserve">Justice requires enforcement of [defendant’s] promise.  </w:t>
      </w:r>
    </w:p>
    <w:p w14:paraId="3566606A" w14:textId="77777777" w:rsidR="000464E2" w:rsidRPr="00FD3ACF" w:rsidRDefault="000464E2" w:rsidP="000464E2">
      <w:pPr>
        <w:pStyle w:val="BodyText"/>
        <w:spacing w:after="0" w:line="360" w:lineRule="auto"/>
        <w:ind w:left="1080"/>
        <w:jc w:val="both"/>
        <w:rPr>
          <w:sz w:val="28"/>
          <w:szCs w:val="28"/>
        </w:rPr>
      </w:pPr>
    </w:p>
    <w:p w14:paraId="7B5964E8" w14:textId="55387C30" w:rsidR="00C80107" w:rsidRDefault="0014795E" w:rsidP="000464E2">
      <w:pPr>
        <w:pStyle w:val="BodyText"/>
        <w:spacing w:after="0" w:line="360" w:lineRule="auto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If you decide that all </w:t>
      </w:r>
      <w:r w:rsidR="00AB3E5C" w:rsidRPr="00834C39">
        <w:rPr>
          <w:sz w:val="28"/>
          <w:szCs w:val="28"/>
        </w:rPr>
        <w:t>five</w:t>
      </w:r>
      <w:r w:rsidR="00F746A8" w:rsidRPr="00834C39">
        <w:rPr>
          <w:sz w:val="28"/>
          <w:szCs w:val="28"/>
        </w:rPr>
        <w:t xml:space="preserve"> of these elements</w:t>
      </w:r>
      <w:r w:rsidR="002D1628" w:rsidRPr="00834C39">
        <w:rPr>
          <w:sz w:val="28"/>
          <w:szCs w:val="28"/>
        </w:rPr>
        <w:t xml:space="preserve"> </w:t>
      </w:r>
      <w:r w:rsidRPr="00834C39">
        <w:rPr>
          <w:sz w:val="28"/>
          <w:szCs w:val="28"/>
        </w:rPr>
        <w:t xml:space="preserve">are more likely true than not true, </w:t>
      </w:r>
      <w:r w:rsidR="00F746A8" w:rsidRPr="00834C39">
        <w:rPr>
          <w:sz w:val="28"/>
          <w:szCs w:val="28"/>
        </w:rPr>
        <w:t xml:space="preserve">your verdict </w:t>
      </w:r>
      <w:r w:rsidR="00AB3E5C" w:rsidRPr="00834C39">
        <w:rPr>
          <w:sz w:val="28"/>
          <w:szCs w:val="28"/>
        </w:rPr>
        <w:t>must</w:t>
      </w:r>
      <w:r w:rsidR="00F746A8" w:rsidRPr="00834C39">
        <w:rPr>
          <w:sz w:val="28"/>
          <w:szCs w:val="28"/>
        </w:rPr>
        <w:t xml:space="preserve"> be in favor of </w:t>
      </w:r>
      <w:r w:rsidR="00443155" w:rsidRPr="00834C39">
        <w:rPr>
          <w:sz w:val="28"/>
          <w:szCs w:val="28"/>
        </w:rPr>
        <w:t>[</w:t>
      </w:r>
      <w:r w:rsidR="00F746A8" w:rsidRPr="00834C39">
        <w:rPr>
          <w:sz w:val="28"/>
          <w:szCs w:val="28"/>
        </w:rPr>
        <w:t>plaintiff</w:t>
      </w:r>
      <w:r w:rsidR="00443155" w:rsidRPr="00834C39">
        <w:rPr>
          <w:sz w:val="28"/>
          <w:szCs w:val="28"/>
        </w:rPr>
        <w:t>],</w:t>
      </w:r>
      <w:r w:rsidR="00F746A8" w:rsidRPr="00834C39">
        <w:rPr>
          <w:sz w:val="28"/>
          <w:szCs w:val="28"/>
        </w:rPr>
        <w:t xml:space="preserve"> and </w:t>
      </w:r>
      <w:r w:rsidRPr="00834C39">
        <w:rPr>
          <w:sz w:val="28"/>
          <w:szCs w:val="28"/>
        </w:rPr>
        <w:t xml:space="preserve">you must decide </w:t>
      </w:r>
      <w:r w:rsidR="00EB79C1" w:rsidRPr="00834C39">
        <w:rPr>
          <w:sz w:val="28"/>
          <w:szCs w:val="28"/>
        </w:rPr>
        <w:t xml:space="preserve">the amount that will </w:t>
      </w:r>
      <w:r w:rsidR="00443155" w:rsidRPr="00834C39">
        <w:rPr>
          <w:sz w:val="28"/>
          <w:szCs w:val="28"/>
        </w:rPr>
        <w:t xml:space="preserve">fairly </w:t>
      </w:r>
      <w:r w:rsidR="00EB79C1" w:rsidRPr="00834C39">
        <w:rPr>
          <w:sz w:val="28"/>
          <w:szCs w:val="28"/>
        </w:rPr>
        <w:t xml:space="preserve">compensate </w:t>
      </w:r>
      <w:r w:rsidR="000C0F8A" w:rsidRPr="00834C39">
        <w:rPr>
          <w:sz w:val="28"/>
          <w:szCs w:val="28"/>
        </w:rPr>
        <w:t>[</w:t>
      </w:r>
      <w:r w:rsidR="00EB79C1" w:rsidRPr="00834C39">
        <w:rPr>
          <w:sz w:val="28"/>
          <w:szCs w:val="28"/>
        </w:rPr>
        <w:t>plaintiff</w:t>
      </w:r>
      <w:r w:rsidR="000C0F8A" w:rsidRPr="00834C39">
        <w:rPr>
          <w:sz w:val="28"/>
          <w:szCs w:val="28"/>
        </w:rPr>
        <w:t>]</w:t>
      </w:r>
      <w:r w:rsidR="00EB79C1" w:rsidRPr="00834C39">
        <w:rPr>
          <w:sz w:val="28"/>
          <w:szCs w:val="28"/>
        </w:rPr>
        <w:t xml:space="preserve"> for </w:t>
      </w:r>
      <w:r w:rsidR="000C0F8A" w:rsidRPr="00834C39">
        <w:rPr>
          <w:sz w:val="28"/>
          <w:szCs w:val="28"/>
        </w:rPr>
        <w:t>[</w:t>
      </w:r>
      <w:r w:rsidR="00EB79C1" w:rsidRPr="00834C39">
        <w:rPr>
          <w:sz w:val="28"/>
          <w:szCs w:val="28"/>
        </w:rPr>
        <w:t>defendant’s</w:t>
      </w:r>
      <w:r w:rsidR="000C0F8A" w:rsidRPr="00834C39">
        <w:rPr>
          <w:sz w:val="28"/>
          <w:szCs w:val="28"/>
        </w:rPr>
        <w:t>]</w:t>
      </w:r>
      <w:r w:rsidR="00EB79C1" w:rsidRPr="00834C39">
        <w:rPr>
          <w:sz w:val="28"/>
          <w:szCs w:val="28"/>
        </w:rPr>
        <w:t xml:space="preserve"> failure to perform as promised</w:t>
      </w:r>
      <w:r w:rsidR="00F746A8" w:rsidRPr="00834C39">
        <w:rPr>
          <w:sz w:val="28"/>
          <w:szCs w:val="28"/>
        </w:rPr>
        <w:t>.</w:t>
      </w:r>
    </w:p>
    <w:p w14:paraId="730131F3" w14:textId="77777777" w:rsidR="000464E2" w:rsidRPr="00834C39" w:rsidRDefault="000464E2" w:rsidP="000464E2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2F81248C" w14:textId="45117AE3" w:rsidR="0014795E" w:rsidRPr="00834C39" w:rsidRDefault="00064C85" w:rsidP="00FD3ACF">
      <w:pPr>
        <w:pStyle w:val="BodyText"/>
        <w:spacing w:line="360" w:lineRule="auto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If you do not </w:t>
      </w:r>
      <w:r w:rsidR="00AB3E5C" w:rsidRPr="00834C39">
        <w:rPr>
          <w:sz w:val="28"/>
          <w:szCs w:val="28"/>
        </w:rPr>
        <w:t>decide that all five of these elements are more likely true than not tru</w:t>
      </w:r>
      <w:r w:rsidR="00443155" w:rsidRPr="00834C39">
        <w:rPr>
          <w:sz w:val="28"/>
          <w:szCs w:val="28"/>
        </w:rPr>
        <w:t>e, your verdict must be in favor of [defendant]</w:t>
      </w:r>
      <w:r w:rsidR="00F746A8" w:rsidRPr="00834C39">
        <w:rPr>
          <w:sz w:val="28"/>
          <w:szCs w:val="28"/>
        </w:rPr>
        <w:t>.</w:t>
      </w:r>
    </w:p>
    <w:p w14:paraId="0863E9E7" w14:textId="5EFDB07C" w:rsidR="00664A89" w:rsidRDefault="00FD3ACF" w:rsidP="000464E2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Use Note</w:t>
      </w:r>
    </w:p>
    <w:p w14:paraId="4568652E" w14:textId="77777777" w:rsidR="000464E2" w:rsidRPr="00FD3ACF" w:rsidRDefault="000464E2" w:rsidP="000464E2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4C4C62EB" w14:textId="0B5DC605" w:rsidR="000464E2" w:rsidRDefault="00AB3E5C" w:rsidP="000464E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>This instruction should be given when the plaintiff asserts a claim based on promissory estoppel.</w:t>
      </w:r>
    </w:p>
    <w:p w14:paraId="2782754D" w14:textId="77777777" w:rsidR="000464E2" w:rsidRDefault="000464E2" w:rsidP="000464E2">
      <w:pPr>
        <w:pStyle w:val="BodyText"/>
        <w:spacing w:after="0"/>
        <w:jc w:val="both"/>
        <w:rPr>
          <w:sz w:val="28"/>
          <w:szCs w:val="28"/>
        </w:rPr>
      </w:pPr>
    </w:p>
    <w:p w14:paraId="7A62BC64" w14:textId="50FE7146" w:rsidR="00C36599" w:rsidRPr="00834C39" w:rsidRDefault="00C36599" w:rsidP="00A72FB0">
      <w:pPr>
        <w:pStyle w:val="BodyText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When there are alternative claims for existence of a contract and for promissory estoppel, the jury can </w:t>
      </w:r>
      <w:r w:rsidR="00BB6645" w:rsidRPr="00834C39">
        <w:rPr>
          <w:sz w:val="28"/>
          <w:szCs w:val="28"/>
        </w:rPr>
        <w:t xml:space="preserve">be </w:t>
      </w:r>
      <w:r w:rsidRPr="00834C39">
        <w:rPr>
          <w:sz w:val="28"/>
          <w:szCs w:val="28"/>
        </w:rPr>
        <w:t>instructed on both theories, using this instruction and instruction 24.01A.  This instruction can be modified, adding a transition sentence at the beginning of the instruction indicating that if the parties did not have a contract, plaintiff makes this alternative claim.</w:t>
      </w:r>
    </w:p>
    <w:p w14:paraId="23C3EDA5" w14:textId="12AB47A8" w:rsidR="00353C90" w:rsidRDefault="00353C90" w:rsidP="0092680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Damages under a promissory estoppel theory may include either expectation damages, or reliance damages.  1 </w:t>
      </w:r>
      <w:r w:rsidRPr="00834C39">
        <w:rPr>
          <w:i/>
          <w:iCs/>
          <w:sz w:val="28"/>
          <w:szCs w:val="28"/>
        </w:rPr>
        <w:t>Farnsworth on Contracts</w:t>
      </w:r>
      <w:r w:rsidRPr="00834C39">
        <w:rPr>
          <w:sz w:val="28"/>
          <w:szCs w:val="28"/>
        </w:rPr>
        <w:t xml:space="preserve"> § 2.23 at 2-144-145 (4th ed. 2021); J. </w:t>
      </w:r>
      <w:proofErr w:type="spellStart"/>
      <w:r w:rsidRPr="00834C39">
        <w:rPr>
          <w:sz w:val="28"/>
          <w:szCs w:val="28"/>
        </w:rPr>
        <w:t>Perillo</w:t>
      </w:r>
      <w:proofErr w:type="spellEnd"/>
      <w:r w:rsidRPr="00834C39">
        <w:rPr>
          <w:sz w:val="28"/>
          <w:szCs w:val="28"/>
        </w:rPr>
        <w:t xml:space="preserve">, </w:t>
      </w:r>
      <w:r w:rsidRPr="00834C39">
        <w:rPr>
          <w:i/>
          <w:iCs/>
          <w:sz w:val="28"/>
          <w:szCs w:val="28"/>
        </w:rPr>
        <w:t>Contracts</w:t>
      </w:r>
      <w:r w:rsidRPr="00834C39">
        <w:rPr>
          <w:sz w:val="28"/>
          <w:szCs w:val="28"/>
        </w:rPr>
        <w:t xml:space="preserve"> § 6.4 (7th ed. 2014).  </w:t>
      </w:r>
      <w:r w:rsidR="00834C39">
        <w:rPr>
          <w:sz w:val="28"/>
          <w:szCs w:val="28"/>
        </w:rPr>
        <w:t xml:space="preserve"> </w:t>
      </w:r>
      <w:r w:rsidRPr="00834C39">
        <w:rPr>
          <w:sz w:val="28"/>
          <w:szCs w:val="28"/>
        </w:rPr>
        <w:t>Instructions 24.09A and 24.09H may be used as appropriate, with modifications to fit the situation.</w:t>
      </w:r>
    </w:p>
    <w:p w14:paraId="4FE8BBB1" w14:textId="77777777" w:rsidR="00926802" w:rsidRPr="00834C39" w:rsidRDefault="00926802" w:rsidP="00926802">
      <w:pPr>
        <w:pStyle w:val="BodyText"/>
        <w:spacing w:after="0"/>
        <w:jc w:val="both"/>
        <w:rPr>
          <w:sz w:val="28"/>
          <w:szCs w:val="28"/>
        </w:rPr>
      </w:pPr>
    </w:p>
    <w:p w14:paraId="723AA26A" w14:textId="3DA03BDF" w:rsidR="00205D31" w:rsidRDefault="000464E2" w:rsidP="000464E2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Comment</w:t>
      </w:r>
    </w:p>
    <w:p w14:paraId="2536E1D0" w14:textId="77777777" w:rsidR="000464E2" w:rsidRPr="00FD3ACF" w:rsidRDefault="000464E2" w:rsidP="000464E2">
      <w:pPr>
        <w:pStyle w:val="BodyText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22D79CCF" w14:textId="557101BD" w:rsidR="00064C85" w:rsidRPr="00834C39" w:rsidRDefault="00064C85" w:rsidP="000464E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>The doctrine of promissory estoppel allows the enforcement of cont</w:t>
      </w:r>
      <w:r w:rsidR="00124913" w:rsidRPr="00834C39">
        <w:rPr>
          <w:sz w:val="28"/>
          <w:szCs w:val="28"/>
        </w:rPr>
        <w:t>r</w:t>
      </w:r>
      <w:r w:rsidRPr="00834C39">
        <w:rPr>
          <w:sz w:val="28"/>
          <w:szCs w:val="28"/>
        </w:rPr>
        <w:t xml:space="preserve">act-like promises despite a technical defect or defense that would otherwise make the promise unenforceable. </w:t>
      </w:r>
      <w:r w:rsidR="00834C39">
        <w:rPr>
          <w:sz w:val="28"/>
          <w:szCs w:val="28"/>
        </w:rPr>
        <w:t xml:space="preserve"> </w:t>
      </w:r>
      <w:r w:rsidR="00CD38BE" w:rsidRPr="00834C39">
        <w:rPr>
          <w:i/>
          <w:sz w:val="28"/>
          <w:szCs w:val="28"/>
        </w:rPr>
        <w:t>Thomas v. Archer</w:t>
      </w:r>
      <w:r w:rsidR="00CD38BE" w:rsidRPr="00834C39">
        <w:rPr>
          <w:sz w:val="28"/>
          <w:szCs w:val="28"/>
        </w:rPr>
        <w:t>, 384 P.3d 791, 798 (Alaska 2016).</w:t>
      </w:r>
      <w:r w:rsidRPr="00834C39">
        <w:rPr>
          <w:sz w:val="28"/>
          <w:szCs w:val="28"/>
        </w:rPr>
        <w:t xml:space="preserve"> </w:t>
      </w:r>
    </w:p>
    <w:p w14:paraId="3DA6934B" w14:textId="77777777" w:rsidR="000464E2" w:rsidRDefault="000464E2" w:rsidP="000464E2">
      <w:pPr>
        <w:pStyle w:val="BodyText"/>
        <w:spacing w:after="0"/>
        <w:jc w:val="both"/>
        <w:rPr>
          <w:sz w:val="28"/>
          <w:szCs w:val="28"/>
        </w:rPr>
      </w:pPr>
    </w:p>
    <w:p w14:paraId="5D9B09E1" w14:textId="1FB353E7" w:rsidR="00355114" w:rsidRPr="00834C39" w:rsidRDefault="00355114" w:rsidP="000464E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Promissory estoppel has four required elements:  </w:t>
      </w:r>
      <w:r w:rsidR="0074624D" w:rsidRPr="00834C39">
        <w:rPr>
          <w:sz w:val="28"/>
          <w:szCs w:val="28"/>
        </w:rPr>
        <w:t>1) the defendant made an actual promise that induced actio</w:t>
      </w:r>
      <w:r w:rsidR="00666B6D" w:rsidRPr="00834C39">
        <w:rPr>
          <w:sz w:val="28"/>
          <w:szCs w:val="28"/>
        </w:rPr>
        <w:t>n</w:t>
      </w:r>
      <w:r w:rsidR="0074624D" w:rsidRPr="00834C39">
        <w:rPr>
          <w:sz w:val="28"/>
          <w:szCs w:val="28"/>
        </w:rPr>
        <w:t xml:space="preserve"> or </w:t>
      </w:r>
      <w:r w:rsidR="00064C85" w:rsidRPr="00834C39">
        <w:rPr>
          <w:sz w:val="28"/>
          <w:szCs w:val="28"/>
        </w:rPr>
        <w:t>forbearance</w:t>
      </w:r>
      <w:r w:rsidR="0074624D" w:rsidRPr="00834C39">
        <w:rPr>
          <w:sz w:val="28"/>
          <w:szCs w:val="28"/>
        </w:rPr>
        <w:t xml:space="preserve"> </w:t>
      </w:r>
      <w:r w:rsidR="00666B6D" w:rsidRPr="00834C39">
        <w:rPr>
          <w:sz w:val="28"/>
          <w:szCs w:val="28"/>
        </w:rPr>
        <w:t xml:space="preserve">by the plaintiff </w:t>
      </w:r>
      <w:r w:rsidR="0074624D" w:rsidRPr="00834C39">
        <w:rPr>
          <w:sz w:val="28"/>
          <w:szCs w:val="28"/>
        </w:rPr>
        <w:t>in reliance on the promise; 2) the</w:t>
      </w:r>
      <w:r w:rsidR="00666B6D" w:rsidRPr="00834C39">
        <w:rPr>
          <w:sz w:val="28"/>
          <w:szCs w:val="28"/>
        </w:rPr>
        <w:t xml:space="preserve"> </w:t>
      </w:r>
      <w:r w:rsidR="00064C85" w:rsidRPr="00834C39">
        <w:rPr>
          <w:sz w:val="28"/>
          <w:szCs w:val="28"/>
        </w:rPr>
        <w:t>plaintiff’s</w:t>
      </w:r>
      <w:r w:rsidR="00666B6D" w:rsidRPr="00834C39">
        <w:rPr>
          <w:sz w:val="28"/>
          <w:szCs w:val="28"/>
        </w:rPr>
        <w:t xml:space="preserve"> </w:t>
      </w:r>
      <w:r w:rsidR="0074624D" w:rsidRPr="00834C39">
        <w:rPr>
          <w:sz w:val="28"/>
          <w:szCs w:val="28"/>
        </w:rPr>
        <w:t xml:space="preserve">action </w:t>
      </w:r>
      <w:r w:rsidR="00666B6D" w:rsidRPr="00834C39">
        <w:rPr>
          <w:sz w:val="28"/>
          <w:szCs w:val="28"/>
        </w:rPr>
        <w:t xml:space="preserve">or forbearance </w:t>
      </w:r>
      <w:r w:rsidR="00064C85" w:rsidRPr="00834C39">
        <w:rPr>
          <w:sz w:val="28"/>
          <w:szCs w:val="28"/>
        </w:rPr>
        <w:t>amounts</w:t>
      </w:r>
      <w:r w:rsidR="0074624D" w:rsidRPr="00834C39">
        <w:rPr>
          <w:sz w:val="28"/>
          <w:szCs w:val="28"/>
        </w:rPr>
        <w:t xml:space="preserve"> to a substantial cha</w:t>
      </w:r>
      <w:r w:rsidR="00666B6D" w:rsidRPr="00834C39">
        <w:rPr>
          <w:sz w:val="28"/>
          <w:szCs w:val="28"/>
        </w:rPr>
        <w:t>n</w:t>
      </w:r>
      <w:r w:rsidR="0074624D" w:rsidRPr="00834C39">
        <w:rPr>
          <w:sz w:val="28"/>
          <w:szCs w:val="28"/>
        </w:rPr>
        <w:t xml:space="preserve">ge of </w:t>
      </w:r>
      <w:r w:rsidR="00064C85" w:rsidRPr="00834C39">
        <w:rPr>
          <w:sz w:val="28"/>
          <w:szCs w:val="28"/>
        </w:rPr>
        <w:t>position</w:t>
      </w:r>
      <w:r w:rsidR="0074624D" w:rsidRPr="00834C39">
        <w:rPr>
          <w:sz w:val="28"/>
          <w:szCs w:val="28"/>
        </w:rPr>
        <w:t xml:space="preserve">; 3) the promisor foresaw the </w:t>
      </w:r>
      <w:r w:rsidR="00064C85" w:rsidRPr="00834C39">
        <w:rPr>
          <w:sz w:val="28"/>
          <w:szCs w:val="28"/>
        </w:rPr>
        <w:t>plaintiff’s</w:t>
      </w:r>
      <w:r w:rsidR="00666B6D" w:rsidRPr="00834C39">
        <w:rPr>
          <w:sz w:val="28"/>
          <w:szCs w:val="28"/>
        </w:rPr>
        <w:t xml:space="preserve"> </w:t>
      </w:r>
      <w:r w:rsidR="0074624D" w:rsidRPr="00834C39">
        <w:rPr>
          <w:sz w:val="28"/>
          <w:szCs w:val="28"/>
        </w:rPr>
        <w:t xml:space="preserve">action or </w:t>
      </w:r>
      <w:r w:rsidR="00064C85" w:rsidRPr="00834C39">
        <w:rPr>
          <w:sz w:val="28"/>
          <w:szCs w:val="28"/>
        </w:rPr>
        <w:t>forbearance</w:t>
      </w:r>
      <w:r w:rsidR="0074624D" w:rsidRPr="00834C39">
        <w:rPr>
          <w:sz w:val="28"/>
          <w:szCs w:val="28"/>
        </w:rPr>
        <w:t xml:space="preserve">, or the </w:t>
      </w:r>
      <w:r w:rsidR="00666B6D" w:rsidRPr="00834C39">
        <w:rPr>
          <w:sz w:val="28"/>
          <w:szCs w:val="28"/>
        </w:rPr>
        <w:t xml:space="preserve">plaintiff’s </w:t>
      </w:r>
      <w:r w:rsidR="0074624D" w:rsidRPr="00834C39">
        <w:rPr>
          <w:sz w:val="28"/>
          <w:szCs w:val="28"/>
        </w:rPr>
        <w:t xml:space="preserve">action or </w:t>
      </w:r>
      <w:r w:rsidR="00064C85" w:rsidRPr="00834C39">
        <w:rPr>
          <w:sz w:val="28"/>
          <w:szCs w:val="28"/>
        </w:rPr>
        <w:t>forbearance</w:t>
      </w:r>
      <w:r w:rsidR="0074624D" w:rsidRPr="00834C39">
        <w:rPr>
          <w:sz w:val="28"/>
          <w:szCs w:val="28"/>
        </w:rPr>
        <w:t xml:space="preserve"> was reasonably foreseeable to the </w:t>
      </w:r>
      <w:r w:rsidR="00666B6D" w:rsidRPr="00834C39">
        <w:rPr>
          <w:sz w:val="28"/>
          <w:szCs w:val="28"/>
        </w:rPr>
        <w:t xml:space="preserve">defendant </w:t>
      </w:r>
      <w:r w:rsidR="0074624D" w:rsidRPr="00834C39">
        <w:rPr>
          <w:sz w:val="28"/>
          <w:szCs w:val="28"/>
        </w:rPr>
        <w:t xml:space="preserve">and 4) enforcement of the promise is necessary in the </w:t>
      </w:r>
      <w:r w:rsidR="00064C85" w:rsidRPr="00834C39">
        <w:rPr>
          <w:sz w:val="28"/>
          <w:szCs w:val="28"/>
        </w:rPr>
        <w:t>interest</w:t>
      </w:r>
      <w:r w:rsidR="0074624D" w:rsidRPr="00834C39">
        <w:rPr>
          <w:sz w:val="28"/>
          <w:szCs w:val="28"/>
        </w:rPr>
        <w:t xml:space="preserve"> of justice.  </w:t>
      </w:r>
      <w:r w:rsidR="00A21E4C" w:rsidRPr="00834C39">
        <w:rPr>
          <w:i/>
          <w:sz w:val="28"/>
          <w:szCs w:val="28"/>
        </w:rPr>
        <w:t>Thomas</w:t>
      </w:r>
      <w:r w:rsidR="00A21E4C" w:rsidRPr="00834C39">
        <w:rPr>
          <w:sz w:val="28"/>
          <w:szCs w:val="28"/>
        </w:rPr>
        <w:t>, 384 P.3d at 798-99</w:t>
      </w:r>
      <w:r w:rsidR="00CD38BE" w:rsidRPr="00834C39">
        <w:rPr>
          <w:sz w:val="28"/>
          <w:szCs w:val="28"/>
        </w:rPr>
        <w:t>.</w:t>
      </w:r>
      <w:r w:rsidR="00666B6D" w:rsidRPr="00834C39">
        <w:rPr>
          <w:sz w:val="28"/>
          <w:szCs w:val="28"/>
        </w:rPr>
        <w:t xml:space="preserve"> </w:t>
      </w:r>
      <w:r w:rsidR="00064C85" w:rsidRPr="00834C39">
        <w:rPr>
          <w:sz w:val="28"/>
          <w:szCs w:val="28"/>
        </w:rPr>
        <w:t xml:space="preserve"> </w:t>
      </w:r>
    </w:p>
    <w:p w14:paraId="158523ED" w14:textId="77777777" w:rsidR="000464E2" w:rsidRDefault="000464E2" w:rsidP="000464E2">
      <w:pPr>
        <w:pStyle w:val="BodyText"/>
        <w:spacing w:after="0"/>
        <w:jc w:val="both"/>
        <w:rPr>
          <w:sz w:val="28"/>
          <w:szCs w:val="28"/>
        </w:rPr>
      </w:pPr>
    </w:p>
    <w:p w14:paraId="4BE635B4" w14:textId="3A6D7DF0" w:rsidR="00EB79C1" w:rsidRPr="00834C39" w:rsidRDefault="00EB79C1" w:rsidP="000464E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>If the claim is that the defendant’s promise induced forbearance</w:t>
      </w:r>
      <w:r w:rsidR="006651AE" w:rsidRPr="00834C39">
        <w:rPr>
          <w:sz w:val="28"/>
          <w:szCs w:val="28"/>
        </w:rPr>
        <w:t xml:space="preserve"> rather than action</w:t>
      </w:r>
      <w:r w:rsidRPr="00834C39">
        <w:rPr>
          <w:sz w:val="28"/>
          <w:szCs w:val="28"/>
        </w:rPr>
        <w:t>, the instruction should be modified accordingly.</w:t>
      </w:r>
      <w:r w:rsidR="006651AE" w:rsidRPr="00834C39">
        <w:rPr>
          <w:sz w:val="28"/>
          <w:szCs w:val="28"/>
        </w:rPr>
        <w:t xml:space="preserve">  For example, element 3 could state that “</w:t>
      </w:r>
      <w:r w:rsidR="000C0F8A" w:rsidRPr="00834C39">
        <w:rPr>
          <w:sz w:val="28"/>
          <w:szCs w:val="28"/>
        </w:rPr>
        <w:t>[</w:t>
      </w:r>
      <w:r w:rsidR="006651AE" w:rsidRPr="00834C39">
        <w:rPr>
          <w:sz w:val="28"/>
          <w:szCs w:val="28"/>
        </w:rPr>
        <w:t>defendant</w:t>
      </w:r>
      <w:r w:rsidR="000C0F8A" w:rsidRPr="00834C39">
        <w:rPr>
          <w:sz w:val="28"/>
          <w:szCs w:val="28"/>
        </w:rPr>
        <w:t>]</w:t>
      </w:r>
      <w:r w:rsidR="006651AE" w:rsidRPr="00834C39">
        <w:rPr>
          <w:sz w:val="28"/>
          <w:szCs w:val="28"/>
        </w:rPr>
        <w:t xml:space="preserve"> expected, or reasonably should have expected</w:t>
      </w:r>
      <w:r w:rsidR="00443155" w:rsidRPr="00834C39">
        <w:rPr>
          <w:sz w:val="28"/>
          <w:szCs w:val="28"/>
        </w:rPr>
        <w:t>,</w:t>
      </w:r>
      <w:r w:rsidR="006651AE" w:rsidRPr="00834C39">
        <w:rPr>
          <w:sz w:val="28"/>
          <w:szCs w:val="28"/>
        </w:rPr>
        <w:t xml:space="preserve"> that</w:t>
      </w:r>
      <w:r w:rsidR="00A43E6E" w:rsidRPr="00834C39">
        <w:rPr>
          <w:sz w:val="28"/>
          <w:szCs w:val="28"/>
        </w:rPr>
        <w:t xml:space="preserve"> in reliance on [plaintiff’s</w:t>
      </w:r>
      <w:r w:rsidR="00443155" w:rsidRPr="00834C39">
        <w:rPr>
          <w:sz w:val="28"/>
          <w:szCs w:val="28"/>
        </w:rPr>
        <w:t>]</w:t>
      </w:r>
      <w:r w:rsidR="00A43E6E" w:rsidRPr="00834C39">
        <w:rPr>
          <w:sz w:val="28"/>
          <w:szCs w:val="28"/>
        </w:rPr>
        <w:t xml:space="preserve"> promise</w:t>
      </w:r>
      <w:r w:rsidR="00443155" w:rsidRPr="00834C39">
        <w:rPr>
          <w:sz w:val="28"/>
          <w:szCs w:val="28"/>
        </w:rPr>
        <w:t>,</w:t>
      </w:r>
      <w:r w:rsidR="006651AE" w:rsidRPr="00834C39">
        <w:rPr>
          <w:sz w:val="28"/>
          <w:szCs w:val="28"/>
        </w:rPr>
        <w:t xml:space="preserve"> [plaintiff] would [describe </w:t>
      </w:r>
      <w:r w:rsidR="00A43E6E" w:rsidRPr="00834C39">
        <w:rPr>
          <w:sz w:val="28"/>
          <w:szCs w:val="28"/>
        </w:rPr>
        <w:t>what plaintiff failed to do]</w:t>
      </w:r>
      <w:r w:rsidR="00834C39">
        <w:rPr>
          <w:sz w:val="28"/>
          <w:szCs w:val="28"/>
        </w:rPr>
        <w:t>,</w:t>
      </w:r>
      <w:r w:rsidR="00443155" w:rsidRPr="00834C39">
        <w:rPr>
          <w:sz w:val="28"/>
          <w:szCs w:val="28"/>
        </w:rPr>
        <w:t>”</w:t>
      </w:r>
      <w:r w:rsidR="00A43E6E" w:rsidRPr="00834C39">
        <w:rPr>
          <w:sz w:val="28"/>
          <w:szCs w:val="28"/>
        </w:rPr>
        <w:t xml:space="preserve"> and element 4 could state that “in reliance on [defendant’s] promise, [plaintiff] failed to [describe what plaintiff failed to do].”</w:t>
      </w:r>
    </w:p>
    <w:p w14:paraId="725B419F" w14:textId="77777777" w:rsidR="000464E2" w:rsidRDefault="000464E2" w:rsidP="000464E2">
      <w:pPr>
        <w:pStyle w:val="BodyText"/>
        <w:spacing w:after="0"/>
        <w:jc w:val="both"/>
        <w:rPr>
          <w:sz w:val="28"/>
          <w:szCs w:val="28"/>
        </w:rPr>
      </w:pPr>
    </w:p>
    <w:p w14:paraId="160583B2" w14:textId="77777777" w:rsidR="000464E2" w:rsidRDefault="00BB6645" w:rsidP="000464E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The plaintiff’s “actual promise” must be definite, very clear, use precise language, and manifest an unequivocal intent to be bound. </w:t>
      </w:r>
      <w:r w:rsidRPr="00834C39">
        <w:rPr>
          <w:i/>
          <w:sz w:val="28"/>
          <w:szCs w:val="28"/>
        </w:rPr>
        <w:t>Thomas</w:t>
      </w:r>
      <w:r w:rsidRPr="00834C39">
        <w:rPr>
          <w:sz w:val="28"/>
          <w:szCs w:val="28"/>
        </w:rPr>
        <w:t xml:space="preserve">, 384 P.3d at 800.  </w:t>
      </w:r>
      <w:r w:rsidRPr="00834C39">
        <w:rPr>
          <w:i/>
          <w:sz w:val="28"/>
          <w:szCs w:val="28"/>
        </w:rPr>
        <w:t xml:space="preserve">See also </w:t>
      </w:r>
      <w:r w:rsidRPr="00834C39">
        <w:rPr>
          <w:i/>
          <w:sz w:val="28"/>
          <w:szCs w:val="28"/>
        </w:rPr>
        <w:lastRenderedPageBreak/>
        <w:t>Sea Hawk Seafoods, Inc. v. City of Valdez</w:t>
      </w:r>
      <w:r w:rsidRPr="00834C39">
        <w:rPr>
          <w:sz w:val="28"/>
          <w:szCs w:val="28"/>
        </w:rPr>
        <w:t xml:space="preserve">, 282 P.3d 359, 366 (Alaska 2012); </w:t>
      </w:r>
      <w:r w:rsidRPr="00834C39">
        <w:rPr>
          <w:i/>
          <w:sz w:val="28"/>
          <w:szCs w:val="28"/>
        </w:rPr>
        <w:t>Safar v. Wells Fargo Bank, N.A.</w:t>
      </w:r>
      <w:r w:rsidRPr="00834C39">
        <w:rPr>
          <w:sz w:val="28"/>
          <w:szCs w:val="28"/>
        </w:rPr>
        <w:t>, 254 P.3d 1112 (Alaska 2011).</w:t>
      </w:r>
    </w:p>
    <w:p w14:paraId="10EAB740" w14:textId="6A6DEC0C" w:rsidR="00BB6645" w:rsidRDefault="00BB6645" w:rsidP="000464E2">
      <w:pPr>
        <w:pStyle w:val="BodyText"/>
        <w:spacing w:after="0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The fifth element of the claim (whether justice requires enforcement of the defendant’s promise) presents issues of fact.  </w:t>
      </w:r>
      <w:r w:rsidRPr="00834C39">
        <w:rPr>
          <w:i/>
          <w:sz w:val="28"/>
          <w:szCs w:val="28"/>
        </w:rPr>
        <w:t>Thomas</w:t>
      </w:r>
      <w:r w:rsidRPr="00834C39">
        <w:rPr>
          <w:sz w:val="28"/>
          <w:szCs w:val="28"/>
        </w:rPr>
        <w:t>, 384 P.3d at 801.</w:t>
      </w:r>
    </w:p>
    <w:p w14:paraId="58CD33D6" w14:textId="77777777" w:rsidR="000464E2" w:rsidRPr="00834C39" w:rsidRDefault="000464E2" w:rsidP="000464E2">
      <w:pPr>
        <w:pStyle w:val="BodyText"/>
        <w:spacing w:after="0"/>
        <w:jc w:val="both"/>
        <w:rPr>
          <w:sz w:val="28"/>
          <w:szCs w:val="28"/>
        </w:rPr>
      </w:pPr>
    </w:p>
    <w:p w14:paraId="1784C0DC" w14:textId="3C3B4DBE" w:rsidR="00BB6645" w:rsidRPr="00834C39" w:rsidRDefault="00BB6645" w:rsidP="00A72FB0">
      <w:pPr>
        <w:pStyle w:val="BodyText"/>
        <w:jc w:val="both"/>
        <w:rPr>
          <w:sz w:val="28"/>
          <w:szCs w:val="28"/>
        </w:rPr>
      </w:pPr>
      <w:r w:rsidRPr="00834C39">
        <w:rPr>
          <w:sz w:val="28"/>
          <w:szCs w:val="28"/>
        </w:rPr>
        <w:t xml:space="preserve">When promissory estoppel is being asserted to overcome the Statute of Frauds, it may be appropriate to instruct the jury on factors stated in Restatement (Second) of Contracts § 139(2) bearing on whether justice requires enforcement of the promise.  </w:t>
      </w:r>
      <w:r w:rsidRPr="00834C39">
        <w:rPr>
          <w:i/>
          <w:sz w:val="28"/>
          <w:szCs w:val="28"/>
        </w:rPr>
        <w:t>See Alaska Democratic Party v. Rice</w:t>
      </w:r>
      <w:r w:rsidRPr="00834C39">
        <w:rPr>
          <w:sz w:val="28"/>
          <w:szCs w:val="28"/>
        </w:rPr>
        <w:t>, 934 P.2d 1313, 1318 &amp; n. 6 (Alaska 1997) (approving instruction).</w:t>
      </w:r>
    </w:p>
    <w:p w14:paraId="658399CA" w14:textId="493829F3" w:rsidR="00CE7F4E" w:rsidRPr="00834C39" w:rsidRDefault="00CE7F4E" w:rsidP="00A72FB0">
      <w:pPr>
        <w:pStyle w:val="BodyText"/>
        <w:jc w:val="both"/>
        <w:rPr>
          <w:sz w:val="28"/>
          <w:szCs w:val="28"/>
        </w:rPr>
      </w:pPr>
    </w:p>
    <w:sectPr w:rsidR="00CE7F4E" w:rsidRPr="00834C39" w:rsidSect="00DF3C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205E" w14:textId="77777777" w:rsidR="000A6232" w:rsidRDefault="000A6232" w:rsidP="00DF3C40">
      <w:r>
        <w:separator/>
      </w:r>
    </w:p>
  </w:endnote>
  <w:endnote w:type="continuationSeparator" w:id="0">
    <w:p w14:paraId="663924A3" w14:textId="77777777" w:rsidR="000A6232" w:rsidRDefault="000A6232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CF3B" w14:textId="03785E20" w:rsidR="00CE7F4E" w:rsidRDefault="007934A2">
    <w:pPr>
      <w:pStyle w:val="DocID"/>
    </w:pPr>
    <w:bookmarkStart w:id="1" w:name="_iDocIDField6121b1bf-5096-479c-88a3-d733"/>
    <w:r>
      <w:t>148723009.3</w:t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455A3" w14:textId="4F7EAE69" w:rsidR="00B653EF" w:rsidRDefault="00B653EF" w:rsidP="00B653EF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24.01</w:t>
    </w:r>
    <w:r>
      <w:rPr>
        <w:b/>
      </w:rPr>
      <w:t>B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1D6D74D7" w14:textId="73185C93" w:rsidR="00CE7F4E" w:rsidRPr="00A72FB0" w:rsidRDefault="00CE7F4E" w:rsidP="00A573CE">
    <w:pPr>
      <w:pStyle w:val="Footer"/>
      <w:rPr>
        <w:rFonts w:ascii="Bookman Old Style" w:hAnsi="Bookman Old Style"/>
        <w:noProof/>
      </w:rPr>
    </w:pPr>
  </w:p>
  <w:p w14:paraId="0B2823D1" w14:textId="77777777" w:rsidR="00CE7F4E" w:rsidRDefault="00CE7F4E" w:rsidP="00A573CE">
    <w:pPr>
      <w:pStyle w:val="Footer"/>
      <w:spacing w:line="200" w:lineRule="exact"/>
      <w:rPr>
        <w:noProof/>
      </w:rPr>
    </w:pPr>
    <w:r w:rsidRPr="009C6D60">
      <w:t xml:space="preserve"> </w:t>
    </w:r>
  </w:p>
  <w:p w14:paraId="1DF2B5E3" w14:textId="76EAF501" w:rsidR="00CE7F4E" w:rsidRDefault="00CE7F4E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94B6" w14:textId="6951683A" w:rsidR="00B653EF" w:rsidRDefault="00B653EF" w:rsidP="00B653EF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24.01B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05F67BA2" w14:textId="4AA0F479" w:rsidR="00CE7F4E" w:rsidRPr="00B653EF" w:rsidRDefault="00CE7F4E" w:rsidP="00B653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13A48" w14:textId="77777777" w:rsidR="000A6232" w:rsidRDefault="000A6232" w:rsidP="00DF3C40">
      <w:r>
        <w:separator/>
      </w:r>
    </w:p>
  </w:footnote>
  <w:footnote w:type="continuationSeparator" w:id="0">
    <w:p w14:paraId="68128A15" w14:textId="77777777" w:rsidR="000A6232" w:rsidRDefault="000A6232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0770D" w14:textId="77777777" w:rsidR="00B653EF" w:rsidRDefault="00B65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9E9F3" w14:textId="77777777" w:rsidR="00B653EF" w:rsidRDefault="00B65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B32" w14:textId="2C857460" w:rsidR="00063C3D" w:rsidRPr="00063C3D" w:rsidRDefault="00063C3D" w:rsidP="00D03E8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54E2A"/>
    <w:multiLevelType w:val="hybridMultilevel"/>
    <w:tmpl w:val="46C093BC"/>
    <w:lvl w:ilvl="0" w:tplc="8B0005C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9"/>
    <w:rsid w:val="00005890"/>
    <w:rsid w:val="00006AF1"/>
    <w:rsid w:val="00021216"/>
    <w:rsid w:val="00044009"/>
    <w:rsid w:val="000464E2"/>
    <w:rsid w:val="00063C3D"/>
    <w:rsid w:val="00064C85"/>
    <w:rsid w:val="000679C0"/>
    <w:rsid w:val="000A6232"/>
    <w:rsid w:val="000C0F8A"/>
    <w:rsid w:val="000D0801"/>
    <w:rsid w:val="000E6FCB"/>
    <w:rsid w:val="001040A9"/>
    <w:rsid w:val="00124913"/>
    <w:rsid w:val="0014795E"/>
    <w:rsid w:val="00157D52"/>
    <w:rsid w:val="00205D31"/>
    <w:rsid w:val="002D1628"/>
    <w:rsid w:val="002F55AA"/>
    <w:rsid w:val="002F65D1"/>
    <w:rsid w:val="00313FAB"/>
    <w:rsid w:val="00353C90"/>
    <w:rsid w:val="00355114"/>
    <w:rsid w:val="00373C3E"/>
    <w:rsid w:val="003A42F8"/>
    <w:rsid w:val="00443155"/>
    <w:rsid w:val="0047015F"/>
    <w:rsid w:val="00487D9B"/>
    <w:rsid w:val="004B031A"/>
    <w:rsid w:val="00507EE9"/>
    <w:rsid w:val="00563BF4"/>
    <w:rsid w:val="00581849"/>
    <w:rsid w:val="005B3B96"/>
    <w:rsid w:val="00622414"/>
    <w:rsid w:val="0063653E"/>
    <w:rsid w:val="00664A89"/>
    <w:rsid w:val="006651AE"/>
    <w:rsid w:val="00666B6D"/>
    <w:rsid w:val="00704F9B"/>
    <w:rsid w:val="0074624D"/>
    <w:rsid w:val="00764C3E"/>
    <w:rsid w:val="007934A2"/>
    <w:rsid w:val="00795652"/>
    <w:rsid w:val="007C1BEB"/>
    <w:rsid w:val="007C4A50"/>
    <w:rsid w:val="007F7F85"/>
    <w:rsid w:val="00831EEE"/>
    <w:rsid w:val="00834C39"/>
    <w:rsid w:val="008554EE"/>
    <w:rsid w:val="00895406"/>
    <w:rsid w:val="008A3EA7"/>
    <w:rsid w:val="008C2382"/>
    <w:rsid w:val="009003FA"/>
    <w:rsid w:val="00926802"/>
    <w:rsid w:val="009549C3"/>
    <w:rsid w:val="009B0D01"/>
    <w:rsid w:val="009C6D60"/>
    <w:rsid w:val="009C7CFF"/>
    <w:rsid w:val="00A12362"/>
    <w:rsid w:val="00A21E4C"/>
    <w:rsid w:val="00A23405"/>
    <w:rsid w:val="00A274AF"/>
    <w:rsid w:val="00A330AE"/>
    <w:rsid w:val="00A43E6E"/>
    <w:rsid w:val="00A70CC4"/>
    <w:rsid w:val="00A72FB0"/>
    <w:rsid w:val="00A805EF"/>
    <w:rsid w:val="00A80DDE"/>
    <w:rsid w:val="00AB3E5C"/>
    <w:rsid w:val="00AB4EFD"/>
    <w:rsid w:val="00AB61D7"/>
    <w:rsid w:val="00B16820"/>
    <w:rsid w:val="00B25CDD"/>
    <w:rsid w:val="00B653EF"/>
    <w:rsid w:val="00B66AC2"/>
    <w:rsid w:val="00B7418F"/>
    <w:rsid w:val="00B91110"/>
    <w:rsid w:val="00BB6645"/>
    <w:rsid w:val="00BC5F86"/>
    <w:rsid w:val="00C2653D"/>
    <w:rsid w:val="00C36267"/>
    <w:rsid w:val="00C36599"/>
    <w:rsid w:val="00C60E81"/>
    <w:rsid w:val="00C669DA"/>
    <w:rsid w:val="00C67942"/>
    <w:rsid w:val="00C80107"/>
    <w:rsid w:val="00C95E53"/>
    <w:rsid w:val="00CA1FB0"/>
    <w:rsid w:val="00CD38BE"/>
    <w:rsid w:val="00CD56E9"/>
    <w:rsid w:val="00CE7F4E"/>
    <w:rsid w:val="00D03E88"/>
    <w:rsid w:val="00D76318"/>
    <w:rsid w:val="00DC2402"/>
    <w:rsid w:val="00DC654A"/>
    <w:rsid w:val="00DD6289"/>
    <w:rsid w:val="00DE0BF6"/>
    <w:rsid w:val="00DF3C40"/>
    <w:rsid w:val="00E44FDD"/>
    <w:rsid w:val="00E60037"/>
    <w:rsid w:val="00E62122"/>
    <w:rsid w:val="00E659C2"/>
    <w:rsid w:val="00EA686D"/>
    <w:rsid w:val="00EB3BC5"/>
    <w:rsid w:val="00EB59F0"/>
    <w:rsid w:val="00EB79C1"/>
    <w:rsid w:val="00F3712C"/>
    <w:rsid w:val="00F374AA"/>
    <w:rsid w:val="00F746A8"/>
    <w:rsid w:val="00FA0052"/>
    <w:rsid w:val="00FC0978"/>
    <w:rsid w:val="00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82C789"/>
  <w15:docId w15:val="{6E6DA6D8-9518-4733-BA71-96C0049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9C6D60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A"/>
    <w:rPr>
      <w:rFonts w:ascii="Times New Roman" w:hAnsi="Times New Roman"/>
      <w:b/>
      <w:bCs/>
      <w:sz w:val="20"/>
      <w:szCs w:val="20"/>
    </w:rPr>
  </w:style>
  <w:style w:type="paragraph" w:customStyle="1" w:styleId="DocID">
    <w:name w:val="DocID"/>
    <w:basedOn w:val="Footer"/>
    <w:next w:val="Footer"/>
    <w:link w:val="DocIDChar"/>
    <w:rsid w:val="00BB6645"/>
    <w:pPr>
      <w:tabs>
        <w:tab w:val="clear" w:pos="4680"/>
        <w:tab w:val="clear" w:pos="9360"/>
      </w:tabs>
    </w:pPr>
    <w:rPr>
      <w:rFonts w:eastAsia="Times New Roman" w:cs="Times New Roman"/>
      <w:sz w:val="16"/>
      <w:szCs w:val="20"/>
    </w:rPr>
  </w:style>
  <w:style w:type="character" w:customStyle="1" w:styleId="DocIDChar">
    <w:name w:val="DocID Char"/>
    <w:basedOn w:val="BodyTextChar"/>
    <w:link w:val="DocID"/>
    <w:rsid w:val="00BB6645"/>
    <w:rPr>
      <w:rFonts w:ascii="Times New Roman" w:eastAsia="Times New Roman" w:hAnsi="Times New Roman" w:cs="Times New Roman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9</cp:revision>
  <dcterms:created xsi:type="dcterms:W3CDTF">2021-12-10T22:01:00Z</dcterms:created>
  <dcterms:modified xsi:type="dcterms:W3CDTF">2022-05-26T18:53:00Z</dcterms:modified>
</cp:coreProperties>
</file>