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6A2" w:rsidRPr="00760FD8" w:rsidRDefault="00B96D08" w:rsidP="00D35419">
      <w:pPr>
        <w:spacing w:line="360" w:lineRule="auto"/>
        <w:ind w:left="7425" w:hanging="7425"/>
        <w:rPr>
          <w:b/>
          <w:sz w:val="28"/>
          <w:szCs w:val="28"/>
        </w:rPr>
      </w:pPr>
      <w:r w:rsidRPr="00760FD8">
        <w:rPr>
          <w:b/>
          <w:sz w:val="28"/>
          <w:szCs w:val="28"/>
        </w:rPr>
        <w:t>24.02</w:t>
      </w:r>
      <w:r w:rsidR="00D35419">
        <w:rPr>
          <w:b/>
          <w:sz w:val="28"/>
          <w:szCs w:val="28"/>
        </w:rPr>
        <w:t xml:space="preserve">        </w:t>
      </w:r>
      <w:r w:rsidRPr="00760FD8">
        <w:rPr>
          <w:b/>
          <w:sz w:val="28"/>
          <w:szCs w:val="28"/>
        </w:rPr>
        <w:t>MODIFI</w:t>
      </w:r>
      <w:r w:rsidR="001A4AB9" w:rsidRPr="00760FD8">
        <w:rPr>
          <w:b/>
          <w:sz w:val="28"/>
          <w:szCs w:val="28"/>
        </w:rPr>
        <w:t>C</w:t>
      </w:r>
      <w:r w:rsidRPr="00760FD8">
        <w:rPr>
          <w:b/>
          <w:sz w:val="28"/>
          <w:szCs w:val="28"/>
        </w:rPr>
        <w:t>ATION OF A CONTRACT</w:t>
      </w:r>
    </w:p>
    <w:p w:rsidR="00E456A2" w:rsidRPr="00760FD8" w:rsidRDefault="00E456A2" w:rsidP="00D35419">
      <w:pPr>
        <w:spacing w:line="360" w:lineRule="auto"/>
        <w:jc w:val="both"/>
        <w:rPr>
          <w:sz w:val="28"/>
          <w:szCs w:val="28"/>
        </w:rPr>
      </w:pPr>
    </w:p>
    <w:p w:rsidR="00E456A2" w:rsidRPr="00760FD8" w:rsidRDefault="00B96D08" w:rsidP="00D35419">
      <w:pPr>
        <w:spacing w:line="360" w:lineRule="auto"/>
        <w:jc w:val="both"/>
        <w:rPr>
          <w:sz w:val="28"/>
          <w:szCs w:val="28"/>
        </w:rPr>
      </w:pPr>
      <w:r w:rsidRPr="00760FD8">
        <w:rPr>
          <w:sz w:val="28"/>
          <w:szCs w:val="28"/>
        </w:rPr>
        <w:t xml:space="preserve">In this case, the parties agree that they entered into a contract.  </w:t>
      </w:r>
      <w:r w:rsidR="00534425" w:rsidRPr="00760FD8">
        <w:rPr>
          <w:sz w:val="28"/>
          <w:szCs w:val="28"/>
        </w:rPr>
        <w:t>[P</w:t>
      </w:r>
      <w:r w:rsidRPr="00760FD8">
        <w:rPr>
          <w:sz w:val="28"/>
          <w:szCs w:val="28"/>
        </w:rPr>
        <w:t xml:space="preserve">arty] claims that </w:t>
      </w:r>
      <w:r w:rsidR="00AF35E6" w:rsidRPr="00760FD8">
        <w:rPr>
          <w:sz w:val="28"/>
          <w:szCs w:val="28"/>
        </w:rPr>
        <w:t xml:space="preserve">after </w:t>
      </w:r>
      <w:r w:rsidR="00E123BF" w:rsidRPr="00760FD8">
        <w:rPr>
          <w:sz w:val="28"/>
          <w:szCs w:val="28"/>
        </w:rPr>
        <w:t xml:space="preserve">the parties entered into the contract, </w:t>
      </w:r>
      <w:r w:rsidRPr="00760FD8">
        <w:rPr>
          <w:sz w:val="28"/>
          <w:szCs w:val="28"/>
        </w:rPr>
        <w:t>the parties agreed to change the terms of the contract.</w:t>
      </w:r>
      <w:r w:rsidR="00AF35E6" w:rsidRPr="00760FD8">
        <w:rPr>
          <w:sz w:val="28"/>
          <w:szCs w:val="28"/>
        </w:rPr>
        <w:t xml:space="preserve">  [Party] denies this claim.</w:t>
      </w:r>
    </w:p>
    <w:p w:rsidR="00E456A2" w:rsidRPr="00760FD8" w:rsidRDefault="00E456A2">
      <w:pPr>
        <w:spacing w:line="360" w:lineRule="auto"/>
        <w:jc w:val="both"/>
        <w:rPr>
          <w:sz w:val="28"/>
          <w:szCs w:val="28"/>
        </w:rPr>
      </w:pPr>
    </w:p>
    <w:p w:rsidR="00E456A2" w:rsidRPr="00760FD8" w:rsidRDefault="00B96D08">
      <w:pPr>
        <w:spacing w:line="360" w:lineRule="auto"/>
        <w:jc w:val="both"/>
        <w:rPr>
          <w:sz w:val="28"/>
          <w:szCs w:val="28"/>
        </w:rPr>
      </w:pPr>
      <w:r w:rsidRPr="00760FD8">
        <w:rPr>
          <w:sz w:val="28"/>
          <w:szCs w:val="28"/>
        </w:rPr>
        <w:t xml:space="preserve">To find that the </w:t>
      </w:r>
      <w:r w:rsidR="007C3EFF" w:rsidRPr="00760FD8">
        <w:rPr>
          <w:sz w:val="28"/>
          <w:szCs w:val="28"/>
        </w:rPr>
        <w:t xml:space="preserve">parties changed the contract’s </w:t>
      </w:r>
      <w:r w:rsidRPr="00760FD8">
        <w:rPr>
          <w:sz w:val="28"/>
          <w:szCs w:val="28"/>
        </w:rPr>
        <w:t>terms, you must decide that it is more likely true tha</w:t>
      </w:r>
      <w:r w:rsidR="00590AC3" w:rsidRPr="00760FD8">
        <w:rPr>
          <w:sz w:val="28"/>
          <w:szCs w:val="28"/>
        </w:rPr>
        <w:t>n</w:t>
      </w:r>
      <w:r w:rsidRPr="00760FD8">
        <w:rPr>
          <w:sz w:val="28"/>
          <w:szCs w:val="28"/>
        </w:rPr>
        <w:t xml:space="preserve"> not true:</w:t>
      </w:r>
    </w:p>
    <w:p w:rsidR="00E456A2" w:rsidRPr="00760FD8" w:rsidRDefault="00E456A2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E456A2" w:rsidRPr="00D35419" w:rsidRDefault="00B45B2F" w:rsidP="00D35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35419">
        <w:rPr>
          <w:sz w:val="28"/>
          <w:szCs w:val="28"/>
        </w:rPr>
        <w:t>T</w:t>
      </w:r>
      <w:r w:rsidR="00B96D08" w:rsidRPr="00D35419">
        <w:rPr>
          <w:sz w:val="28"/>
          <w:szCs w:val="28"/>
        </w:rPr>
        <w:t xml:space="preserve">hat both parties agreed to change </w:t>
      </w:r>
      <w:r w:rsidR="00022EB1" w:rsidRPr="00D35419">
        <w:rPr>
          <w:sz w:val="28"/>
          <w:szCs w:val="28"/>
        </w:rPr>
        <w:t xml:space="preserve">the contract’s </w:t>
      </w:r>
      <w:r w:rsidR="00B96D08" w:rsidRPr="00D35419">
        <w:rPr>
          <w:sz w:val="28"/>
          <w:szCs w:val="28"/>
        </w:rPr>
        <w:t xml:space="preserve">terms.  </w:t>
      </w:r>
      <w:r w:rsidR="00AF35E6" w:rsidRPr="00D35419">
        <w:rPr>
          <w:sz w:val="28"/>
          <w:szCs w:val="28"/>
        </w:rPr>
        <w:t xml:space="preserve">A party may express agreement to change a contract term through words or conduct.  </w:t>
      </w:r>
      <w:r w:rsidR="00590AC3" w:rsidRPr="00D35419">
        <w:rPr>
          <w:sz w:val="28"/>
          <w:szCs w:val="28"/>
        </w:rPr>
        <w:t>A</w:t>
      </w:r>
      <w:r w:rsidR="00AF35E6" w:rsidRPr="00D35419">
        <w:rPr>
          <w:sz w:val="28"/>
          <w:szCs w:val="28"/>
        </w:rPr>
        <w:t xml:space="preserve"> party’s agreement to change a contract term </w:t>
      </w:r>
      <w:r w:rsidR="00590AC3" w:rsidRPr="00D35419">
        <w:rPr>
          <w:sz w:val="28"/>
          <w:szCs w:val="28"/>
        </w:rPr>
        <w:t xml:space="preserve">is established </w:t>
      </w:r>
      <w:r w:rsidR="00AF35E6" w:rsidRPr="00D35419">
        <w:rPr>
          <w:sz w:val="28"/>
          <w:szCs w:val="28"/>
        </w:rPr>
        <w:t>if a reasonable person under the same circumstances would conclude from the party’s words or conduct that the party agreed to change the contract term</w:t>
      </w:r>
      <w:r w:rsidR="00382AD5" w:rsidRPr="00D35419">
        <w:rPr>
          <w:sz w:val="28"/>
          <w:szCs w:val="28"/>
        </w:rPr>
        <w:t>; and</w:t>
      </w:r>
      <w:r w:rsidR="00AF35E6" w:rsidRPr="00D35419">
        <w:rPr>
          <w:sz w:val="28"/>
          <w:szCs w:val="28"/>
        </w:rPr>
        <w:t xml:space="preserve"> </w:t>
      </w:r>
    </w:p>
    <w:p w:rsidR="00022EB1" w:rsidRPr="00D35419" w:rsidRDefault="00B45B2F" w:rsidP="00D35419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35419">
        <w:rPr>
          <w:sz w:val="28"/>
          <w:szCs w:val="28"/>
        </w:rPr>
        <w:t>T</w:t>
      </w:r>
      <w:r w:rsidR="00022EB1" w:rsidRPr="00D35419">
        <w:rPr>
          <w:sz w:val="28"/>
          <w:szCs w:val="28"/>
        </w:rPr>
        <w:t xml:space="preserve">hat </w:t>
      </w:r>
      <w:r w:rsidR="00BA561D" w:rsidRPr="00D35419">
        <w:rPr>
          <w:sz w:val="28"/>
          <w:szCs w:val="28"/>
        </w:rPr>
        <w:t xml:space="preserve">each party gave the other party something of value, or promised to give the other party something of value, in exchange for the </w:t>
      </w:r>
      <w:r w:rsidR="007C3EFF" w:rsidRPr="00D35419">
        <w:rPr>
          <w:sz w:val="28"/>
          <w:szCs w:val="28"/>
        </w:rPr>
        <w:t>other party’s agreement to change the contract’s terms.</w:t>
      </w:r>
    </w:p>
    <w:p w:rsidR="00E456A2" w:rsidRPr="00760FD8" w:rsidRDefault="00E456A2">
      <w:pPr>
        <w:spacing w:line="360" w:lineRule="auto"/>
        <w:jc w:val="both"/>
        <w:rPr>
          <w:sz w:val="28"/>
          <w:szCs w:val="28"/>
        </w:rPr>
      </w:pPr>
    </w:p>
    <w:p w:rsidR="00E456A2" w:rsidRPr="00760FD8" w:rsidRDefault="00B96D08">
      <w:pPr>
        <w:spacing w:line="360" w:lineRule="auto"/>
        <w:jc w:val="both"/>
        <w:rPr>
          <w:sz w:val="28"/>
          <w:szCs w:val="28"/>
        </w:rPr>
      </w:pPr>
      <w:r w:rsidRPr="00760FD8">
        <w:rPr>
          <w:sz w:val="28"/>
          <w:szCs w:val="28"/>
        </w:rPr>
        <w:t>If you decide that both of these things are more likely true than not true, then the parties changed their original contract.</w:t>
      </w:r>
      <w:r w:rsidR="007C3EFF" w:rsidRPr="00760FD8">
        <w:rPr>
          <w:sz w:val="28"/>
          <w:szCs w:val="28"/>
        </w:rPr>
        <w:t xml:space="preserve">  </w:t>
      </w:r>
      <w:r w:rsidRPr="00760FD8">
        <w:rPr>
          <w:sz w:val="28"/>
          <w:szCs w:val="28"/>
        </w:rPr>
        <w:t>Otherwise, the parties did not change their original contract.</w:t>
      </w:r>
    </w:p>
    <w:p w:rsidR="00E456A2" w:rsidRPr="00760FD8" w:rsidRDefault="00E456A2">
      <w:pPr>
        <w:spacing w:line="360" w:lineRule="auto"/>
        <w:jc w:val="both"/>
        <w:rPr>
          <w:sz w:val="28"/>
          <w:szCs w:val="28"/>
        </w:rPr>
      </w:pPr>
    </w:p>
    <w:p w:rsidR="00E456A2" w:rsidRPr="00382AD5" w:rsidRDefault="00B96D08">
      <w:pPr>
        <w:jc w:val="center"/>
        <w:rPr>
          <w:b/>
          <w:sz w:val="28"/>
          <w:szCs w:val="28"/>
          <w:u w:val="single"/>
        </w:rPr>
      </w:pPr>
      <w:r w:rsidRPr="00382AD5">
        <w:rPr>
          <w:b/>
          <w:sz w:val="28"/>
          <w:szCs w:val="28"/>
          <w:u w:val="single"/>
        </w:rPr>
        <w:t>Use Note</w:t>
      </w:r>
    </w:p>
    <w:p w:rsidR="00E456A2" w:rsidRPr="00760FD8" w:rsidRDefault="00E456A2">
      <w:pPr>
        <w:rPr>
          <w:sz w:val="28"/>
          <w:szCs w:val="28"/>
        </w:rPr>
      </w:pPr>
    </w:p>
    <w:p w:rsidR="00E456A2" w:rsidRPr="00760FD8" w:rsidRDefault="00B96D08">
      <w:pPr>
        <w:jc w:val="both"/>
        <w:rPr>
          <w:sz w:val="28"/>
          <w:szCs w:val="28"/>
        </w:rPr>
      </w:pPr>
      <w:r w:rsidRPr="00760FD8">
        <w:rPr>
          <w:sz w:val="28"/>
          <w:szCs w:val="28"/>
        </w:rPr>
        <w:t xml:space="preserve">This instruction may be used because the plaintiff wants to prove that a contract was modified and then breached, or because a defendant claims there was no breach </w:t>
      </w:r>
      <w:r w:rsidR="00AF35E6" w:rsidRPr="00760FD8">
        <w:rPr>
          <w:sz w:val="28"/>
          <w:szCs w:val="28"/>
        </w:rPr>
        <w:t xml:space="preserve">because the parties modified the original </w:t>
      </w:r>
      <w:r w:rsidRPr="00760FD8">
        <w:rPr>
          <w:sz w:val="28"/>
          <w:szCs w:val="28"/>
        </w:rPr>
        <w:t>contract.</w:t>
      </w:r>
      <w:r w:rsidR="00C92789" w:rsidRPr="00760FD8">
        <w:rPr>
          <w:sz w:val="28"/>
          <w:szCs w:val="28"/>
        </w:rPr>
        <w:t xml:space="preserve"> </w:t>
      </w:r>
      <w:r w:rsidRPr="00760FD8">
        <w:rPr>
          <w:sz w:val="28"/>
          <w:szCs w:val="28"/>
        </w:rPr>
        <w:t xml:space="preserve"> If there is a dispute about the original contract, Instruction 24.01A precedes this one.</w:t>
      </w:r>
    </w:p>
    <w:p w:rsidR="00E456A2" w:rsidRPr="00760FD8" w:rsidRDefault="00E456A2">
      <w:pPr>
        <w:rPr>
          <w:sz w:val="28"/>
          <w:szCs w:val="28"/>
        </w:rPr>
      </w:pPr>
    </w:p>
    <w:p w:rsidR="00E456A2" w:rsidRPr="00760FD8" w:rsidRDefault="00B96D08">
      <w:pPr>
        <w:jc w:val="both"/>
        <w:rPr>
          <w:sz w:val="28"/>
          <w:szCs w:val="28"/>
        </w:rPr>
      </w:pPr>
      <w:r w:rsidRPr="00760FD8">
        <w:rPr>
          <w:sz w:val="28"/>
          <w:szCs w:val="28"/>
        </w:rPr>
        <w:t xml:space="preserve">Where the defendant is claiming modification without consideration, e.g., plaintiff's waiver, as an affirmative defense, Instruction 24.08G (waiver by election) should be given in place of this instruction. </w:t>
      </w:r>
      <w:r w:rsidR="00C92789" w:rsidRPr="00760FD8">
        <w:rPr>
          <w:sz w:val="28"/>
          <w:szCs w:val="28"/>
        </w:rPr>
        <w:t xml:space="preserve"> </w:t>
      </w:r>
      <w:r w:rsidRPr="00760FD8">
        <w:rPr>
          <w:sz w:val="28"/>
          <w:szCs w:val="28"/>
        </w:rPr>
        <w:t>Where the plaintiff is claiming a waiver of the plaintiff's own defective performance by the defendant, a modified Instruction 24.08G should replace this one.</w:t>
      </w:r>
    </w:p>
    <w:p w:rsidR="00E456A2" w:rsidRPr="00760FD8" w:rsidRDefault="00E456A2">
      <w:pPr>
        <w:rPr>
          <w:sz w:val="28"/>
          <w:szCs w:val="28"/>
        </w:rPr>
      </w:pPr>
    </w:p>
    <w:p w:rsidR="00E456A2" w:rsidRPr="00382AD5" w:rsidRDefault="00B96D08">
      <w:pPr>
        <w:pStyle w:val="Heading1"/>
        <w:rPr>
          <w:rFonts w:ascii="Times New Roman" w:hAnsi="Times New Roman"/>
          <w:b/>
          <w:sz w:val="28"/>
          <w:szCs w:val="28"/>
        </w:rPr>
      </w:pPr>
      <w:r w:rsidRPr="00382AD5">
        <w:rPr>
          <w:rFonts w:ascii="Times New Roman" w:hAnsi="Times New Roman"/>
          <w:b/>
          <w:sz w:val="28"/>
          <w:szCs w:val="28"/>
        </w:rPr>
        <w:t>Comment</w:t>
      </w:r>
    </w:p>
    <w:p w:rsidR="00E456A2" w:rsidRPr="00760FD8" w:rsidRDefault="00E456A2">
      <w:pPr>
        <w:rPr>
          <w:sz w:val="28"/>
          <w:szCs w:val="28"/>
        </w:rPr>
      </w:pPr>
    </w:p>
    <w:p w:rsidR="00E456A2" w:rsidRPr="00760FD8" w:rsidRDefault="00B96D08">
      <w:pPr>
        <w:jc w:val="both"/>
        <w:rPr>
          <w:sz w:val="28"/>
          <w:szCs w:val="28"/>
        </w:rPr>
      </w:pPr>
      <w:r w:rsidRPr="00760FD8">
        <w:rPr>
          <w:sz w:val="28"/>
          <w:szCs w:val="28"/>
        </w:rPr>
        <w:t>Modification of the terms of a contract generally requires all of the elements needed to form the original contract.</w:t>
      </w:r>
      <w:r w:rsidR="00761117" w:rsidRPr="00760FD8">
        <w:rPr>
          <w:sz w:val="28"/>
          <w:szCs w:val="28"/>
        </w:rPr>
        <w:t xml:space="preserve"> </w:t>
      </w:r>
      <w:r w:rsidRPr="00760FD8">
        <w:rPr>
          <w:sz w:val="28"/>
          <w:szCs w:val="28"/>
        </w:rPr>
        <w:t xml:space="preserve"> Both parties must agree to a change in </w:t>
      </w:r>
      <w:r w:rsidR="00AF35E6" w:rsidRPr="00760FD8">
        <w:rPr>
          <w:sz w:val="28"/>
          <w:szCs w:val="28"/>
        </w:rPr>
        <w:t xml:space="preserve">the contract’s </w:t>
      </w:r>
      <w:r w:rsidRPr="00760FD8">
        <w:rPr>
          <w:sz w:val="28"/>
          <w:szCs w:val="28"/>
        </w:rPr>
        <w:t xml:space="preserve">terms. </w:t>
      </w:r>
      <w:r w:rsidR="00C92789" w:rsidRPr="00760FD8">
        <w:rPr>
          <w:sz w:val="28"/>
          <w:szCs w:val="28"/>
        </w:rPr>
        <w:t xml:space="preserve"> </w:t>
      </w:r>
      <w:r w:rsidRPr="00760FD8">
        <w:rPr>
          <w:sz w:val="28"/>
          <w:szCs w:val="28"/>
        </w:rPr>
        <w:t xml:space="preserve">In addition, Alaska </w:t>
      </w:r>
      <w:r w:rsidR="00E123BF" w:rsidRPr="00760FD8">
        <w:rPr>
          <w:sz w:val="28"/>
          <w:szCs w:val="28"/>
        </w:rPr>
        <w:t xml:space="preserve">law </w:t>
      </w:r>
      <w:r w:rsidRPr="00760FD8">
        <w:rPr>
          <w:sz w:val="28"/>
          <w:szCs w:val="28"/>
        </w:rPr>
        <w:t xml:space="preserve">requires consideration for the modification of contracts which are not for the sale of goods. </w:t>
      </w:r>
      <w:r w:rsidR="00382AD5">
        <w:rPr>
          <w:sz w:val="28"/>
          <w:szCs w:val="28"/>
        </w:rPr>
        <w:t xml:space="preserve"> </w:t>
      </w:r>
      <w:r w:rsidR="00804B5C" w:rsidRPr="00382AD5">
        <w:rPr>
          <w:i/>
          <w:sz w:val="28"/>
          <w:szCs w:val="28"/>
        </w:rPr>
        <w:t>Baker v. Ryan Air, Inc</w:t>
      </w:r>
      <w:r w:rsidR="00804B5C" w:rsidRPr="00760FD8">
        <w:rPr>
          <w:sz w:val="28"/>
          <w:szCs w:val="28"/>
        </w:rPr>
        <w:t xml:space="preserve">., </w:t>
      </w:r>
      <w:r w:rsidR="006D08A3" w:rsidRPr="00760FD8">
        <w:rPr>
          <w:sz w:val="28"/>
          <w:szCs w:val="28"/>
        </w:rPr>
        <w:t>345 P.3d 101, 110 (Alaska 2015).</w:t>
      </w:r>
      <w:r w:rsidRPr="00760FD8">
        <w:rPr>
          <w:sz w:val="28"/>
          <w:szCs w:val="28"/>
        </w:rPr>
        <w:t xml:space="preserve"> </w:t>
      </w:r>
      <w:r w:rsidR="00382AD5">
        <w:rPr>
          <w:sz w:val="28"/>
          <w:szCs w:val="28"/>
        </w:rPr>
        <w:t xml:space="preserve"> </w:t>
      </w:r>
      <w:r w:rsidR="00E123BF" w:rsidRPr="00382AD5">
        <w:rPr>
          <w:i/>
          <w:sz w:val="28"/>
          <w:szCs w:val="28"/>
        </w:rPr>
        <w:t>C</w:t>
      </w:r>
      <w:r w:rsidRPr="00382AD5">
        <w:rPr>
          <w:i/>
          <w:sz w:val="28"/>
          <w:szCs w:val="28"/>
        </w:rPr>
        <w:t>ompare</w:t>
      </w:r>
      <w:r w:rsidRPr="00760FD8">
        <w:rPr>
          <w:sz w:val="28"/>
          <w:szCs w:val="28"/>
        </w:rPr>
        <w:t xml:space="preserve"> AS 45.02.209(a) [UCC 2</w:t>
      </w:r>
      <w:r w:rsidRPr="00760FD8">
        <w:rPr>
          <w:sz w:val="28"/>
          <w:szCs w:val="28"/>
        </w:rPr>
        <w:noBreakHyphen/>
        <w:t>209] (</w:t>
      </w:r>
      <w:r w:rsidR="00761117" w:rsidRPr="00760FD8">
        <w:rPr>
          <w:sz w:val="28"/>
          <w:szCs w:val="28"/>
        </w:rPr>
        <w:t>a</w:t>
      </w:r>
      <w:r w:rsidRPr="00760FD8">
        <w:rPr>
          <w:sz w:val="28"/>
          <w:szCs w:val="28"/>
        </w:rPr>
        <w:t>greements to modify or rescind contracts for the sale of goods need no consideration to be binding).</w:t>
      </w:r>
    </w:p>
    <w:p w:rsidR="00E456A2" w:rsidRPr="00760FD8" w:rsidRDefault="00E456A2">
      <w:pPr>
        <w:rPr>
          <w:sz w:val="28"/>
          <w:szCs w:val="28"/>
        </w:rPr>
      </w:pPr>
    </w:p>
    <w:p w:rsidR="00E456A2" w:rsidRPr="00760FD8" w:rsidRDefault="003A7651">
      <w:pPr>
        <w:jc w:val="both"/>
        <w:rPr>
          <w:sz w:val="28"/>
          <w:szCs w:val="28"/>
        </w:rPr>
      </w:pPr>
      <w:r w:rsidRPr="00760FD8">
        <w:rPr>
          <w:sz w:val="28"/>
          <w:szCs w:val="28"/>
        </w:rPr>
        <w:t xml:space="preserve">A written contract may be modified by an oral agreement coupled with conduct consistent with the claimed modification.  </w:t>
      </w:r>
      <w:r w:rsidRPr="00382AD5">
        <w:rPr>
          <w:i/>
          <w:sz w:val="28"/>
          <w:szCs w:val="28"/>
        </w:rPr>
        <w:t>Baker</w:t>
      </w:r>
      <w:r w:rsidRPr="00760FD8">
        <w:rPr>
          <w:sz w:val="28"/>
          <w:szCs w:val="28"/>
        </w:rPr>
        <w:t xml:space="preserve">, 345 P.3d at 110-11 (affirming trial court’s finding that the facts did not support the claimed modification).  </w:t>
      </w:r>
      <w:r w:rsidRPr="00382AD5">
        <w:rPr>
          <w:i/>
          <w:sz w:val="28"/>
          <w:szCs w:val="28"/>
        </w:rPr>
        <w:t xml:space="preserve">See also </w:t>
      </w:r>
      <w:r w:rsidR="00B96D08" w:rsidRPr="00382AD5">
        <w:rPr>
          <w:i/>
          <w:sz w:val="28"/>
          <w:szCs w:val="28"/>
        </w:rPr>
        <w:t>National Bank of Alaska v. J.B.L. &amp; K. of Alaska, Inc.</w:t>
      </w:r>
      <w:r w:rsidR="00B96D08" w:rsidRPr="00760FD8">
        <w:rPr>
          <w:sz w:val="28"/>
          <w:szCs w:val="28"/>
        </w:rPr>
        <w:t>, 546 P.2d 579, 586</w:t>
      </w:r>
      <w:r w:rsidR="00B96D08" w:rsidRPr="00760FD8">
        <w:rPr>
          <w:sz w:val="28"/>
          <w:szCs w:val="28"/>
        </w:rPr>
        <w:noBreakHyphen/>
        <w:t>87 (Alaska 1976)</w:t>
      </w:r>
      <w:r w:rsidRPr="00760FD8">
        <w:rPr>
          <w:sz w:val="28"/>
          <w:szCs w:val="28"/>
        </w:rPr>
        <w:t xml:space="preserve"> (affi</w:t>
      </w:r>
      <w:r w:rsidR="00E123BF" w:rsidRPr="00760FD8">
        <w:rPr>
          <w:sz w:val="28"/>
          <w:szCs w:val="28"/>
        </w:rPr>
        <w:t>r</w:t>
      </w:r>
      <w:r w:rsidRPr="00760FD8">
        <w:rPr>
          <w:sz w:val="28"/>
          <w:szCs w:val="28"/>
        </w:rPr>
        <w:t xml:space="preserve">ming </w:t>
      </w:r>
      <w:r w:rsidR="00B96D08" w:rsidRPr="00760FD8">
        <w:rPr>
          <w:sz w:val="28"/>
          <w:szCs w:val="28"/>
        </w:rPr>
        <w:t>trial court's refusal to infer a modification solely from the parties' conduct</w:t>
      </w:r>
      <w:r w:rsidR="00E123BF" w:rsidRPr="00760FD8">
        <w:rPr>
          <w:sz w:val="28"/>
          <w:szCs w:val="28"/>
        </w:rPr>
        <w:t>,</w:t>
      </w:r>
      <w:r w:rsidR="00B96D08" w:rsidRPr="00760FD8">
        <w:rPr>
          <w:sz w:val="28"/>
          <w:szCs w:val="28"/>
        </w:rPr>
        <w:t xml:space="preserve"> absent a written modification or oral agreement to modify</w:t>
      </w:r>
      <w:r w:rsidRPr="00760FD8">
        <w:rPr>
          <w:sz w:val="28"/>
          <w:szCs w:val="28"/>
        </w:rPr>
        <w:t>)</w:t>
      </w:r>
      <w:r w:rsidR="00B96D08" w:rsidRPr="00760FD8">
        <w:rPr>
          <w:sz w:val="28"/>
          <w:szCs w:val="28"/>
        </w:rPr>
        <w:t>.</w:t>
      </w:r>
    </w:p>
    <w:p w:rsidR="00E456A2" w:rsidRPr="00760FD8" w:rsidRDefault="00E456A2">
      <w:pPr>
        <w:rPr>
          <w:rFonts w:ascii="Bookman Old Style" w:hAnsi="Bookman Old Style"/>
          <w:sz w:val="28"/>
          <w:szCs w:val="28"/>
        </w:rPr>
      </w:pPr>
    </w:p>
    <w:p w:rsidR="00E456A2" w:rsidRPr="00760FD8" w:rsidRDefault="00E456A2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</w:p>
    <w:sectPr w:rsidR="00E456A2" w:rsidRPr="00760FD8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FE3" w:rsidRDefault="00350FE3">
      <w:r>
        <w:separator/>
      </w:r>
    </w:p>
  </w:endnote>
  <w:endnote w:type="continuationSeparator" w:id="0">
    <w:p w:rsidR="00350FE3" w:rsidRDefault="0035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FD8" w:rsidRDefault="00760FD8" w:rsidP="00760FD8">
    <w:pPr>
      <w:pStyle w:val="Footer"/>
      <w:rPr>
        <w:noProof/>
      </w:rPr>
    </w:pPr>
    <w:r>
      <w:t>Revised 2022</w:t>
    </w:r>
    <w:r>
      <w:ptab w:relativeTo="margin" w:alignment="center" w:leader="none"/>
    </w:r>
    <w:r>
      <w:t>24.01C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  <w:p w:rsidR="00260C15" w:rsidRDefault="00260C15" w:rsidP="00260C15">
    <w:pPr>
      <w:tabs>
        <w:tab w:val="right" w:pos="9360"/>
      </w:tabs>
      <w:spacing w:line="200" w:lineRule="exact"/>
      <w:rPr>
        <w:rFonts w:ascii="Bookman Old Style" w:hAnsi="Bookman Old Style"/>
        <w:sz w:val="26"/>
      </w:rPr>
    </w:pPr>
    <w:r w:rsidRPr="00260C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FE3" w:rsidRDefault="00350FE3">
      <w:r>
        <w:separator/>
      </w:r>
    </w:p>
  </w:footnote>
  <w:footnote w:type="continuationSeparator" w:id="0">
    <w:p w:rsidR="00350FE3" w:rsidRDefault="0035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7B8" w:rsidRPr="00761117" w:rsidRDefault="00D267B8" w:rsidP="00761117">
    <w:pPr>
      <w:pStyle w:val="Header"/>
      <w:tabs>
        <w:tab w:val="left" w:pos="1440"/>
      </w:tabs>
      <w:jc w:val="right"/>
      <w:rPr>
        <w:rFonts w:ascii="Bookman Old Style" w:hAnsi="Bookman Old Style"/>
        <w:b/>
        <w:sz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B92602"/>
    <w:multiLevelType w:val="hybridMultilevel"/>
    <w:tmpl w:val="0784B456"/>
    <w:lvl w:ilvl="0" w:tplc="B524C0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08"/>
    <w:rsid w:val="00022EB1"/>
    <w:rsid w:val="001164FE"/>
    <w:rsid w:val="001A4AB9"/>
    <w:rsid w:val="001D0D1F"/>
    <w:rsid w:val="00260C15"/>
    <w:rsid w:val="002B0837"/>
    <w:rsid w:val="00350FE3"/>
    <w:rsid w:val="00382AD5"/>
    <w:rsid w:val="003A7651"/>
    <w:rsid w:val="003E0FAA"/>
    <w:rsid w:val="00534425"/>
    <w:rsid w:val="00590AC3"/>
    <w:rsid w:val="006D08A3"/>
    <w:rsid w:val="006E528D"/>
    <w:rsid w:val="00715720"/>
    <w:rsid w:val="00760FD8"/>
    <w:rsid w:val="00761117"/>
    <w:rsid w:val="007C3EFF"/>
    <w:rsid w:val="007F2114"/>
    <w:rsid w:val="00804B5C"/>
    <w:rsid w:val="00946B5B"/>
    <w:rsid w:val="009935D2"/>
    <w:rsid w:val="00A60B39"/>
    <w:rsid w:val="00AE2FE0"/>
    <w:rsid w:val="00AF35E6"/>
    <w:rsid w:val="00B45B2F"/>
    <w:rsid w:val="00B96D08"/>
    <w:rsid w:val="00BA561D"/>
    <w:rsid w:val="00C92789"/>
    <w:rsid w:val="00D03066"/>
    <w:rsid w:val="00D267B8"/>
    <w:rsid w:val="00D35419"/>
    <w:rsid w:val="00DD3733"/>
    <w:rsid w:val="00E123BF"/>
    <w:rsid w:val="00E456A2"/>
    <w:rsid w:val="00EF568B"/>
    <w:rsid w:val="00FB2546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832772-D6A1-4082-9383-176A6FB5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jc w:val="center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zzmpTrailerItem">
    <w:name w:val="zzmpTrailerItem"/>
    <w:rsid w:val="00260C15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7B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AF35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35E6"/>
  </w:style>
  <w:style w:type="character" w:customStyle="1" w:styleId="FooterChar">
    <w:name w:val="Footer Char"/>
    <w:basedOn w:val="DefaultParagraphFont"/>
    <w:link w:val="Footer"/>
    <w:uiPriority w:val="99"/>
    <w:rsid w:val="00760FD8"/>
  </w:style>
  <w:style w:type="paragraph" w:styleId="ListParagraph">
    <w:name w:val="List Paragraph"/>
    <w:basedOn w:val="Normal"/>
    <w:uiPriority w:val="34"/>
    <w:qFormat/>
    <w:rsid w:val="00D35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2792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Hanley Robinson</dc:creator>
  <cp:lastModifiedBy>Hanley Robinson</cp:lastModifiedBy>
  <cp:revision>1</cp:revision>
  <dcterms:created xsi:type="dcterms:W3CDTF">2022-05-26T18:55:00Z</dcterms:created>
  <dcterms:modified xsi:type="dcterms:W3CDTF">2022-05-26T18:55:00Z</dcterms:modified>
</cp:coreProperties>
</file>