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BDDF7" w14:textId="77777777" w:rsidR="00346E4A" w:rsidRPr="00EC23CD" w:rsidRDefault="007362D4">
      <w:pPr>
        <w:tabs>
          <w:tab w:val="left" w:pos="1440"/>
        </w:tabs>
        <w:rPr>
          <w:b/>
          <w:sz w:val="28"/>
          <w:szCs w:val="28"/>
        </w:rPr>
      </w:pPr>
      <w:r w:rsidRPr="00EC23CD">
        <w:rPr>
          <w:b/>
          <w:sz w:val="28"/>
          <w:szCs w:val="28"/>
        </w:rPr>
        <w:t>24.08B</w:t>
      </w:r>
      <w:r w:rsidRPr="00EC23CD">
        <w:rPr>
          <w:b/>
          <w:sz w:val="28"/>
          <w:szCs w:val="28"/>
        </w:rPr>
        <w:tab/>
        <w:t>AFFIRMATIVE DEFENSE-FRUSTRATION OF PURPOSE</w:t>
      </w:r>
    </w:p>
    <w:p w14:paraId="65233C41" w14:textId="77777777" w:rsidR="00346E4A" w:rsidRPr="00EC23CD" w:rsidRDefault="00346E4A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14:paraId="13CB84CC" w14:textId="7667F049" w:rsidR="00346E4A" w:rsidRPr="00EC23CD" w:rsidRDefault="00AA1FB4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EC23CD">
        <w:rPr>
          <w:sz w:val="28"/>
          <w:szCs w:val="28"/>
        </w:rPr>
        <w:t>[D</w:t>
      </w:r>
      <w:r w:rsidR="007362D4" w:rsidRPr="00EC23CD">
        <w:rPr>
          <w:sz w:val="28"/>
          <w:szCs w:val="28"/>
        </w:rPr>
        <w:t>efendant</w:t>
      </w:r>
      <w:r w:rsidRPr="00EC23CD">
        <w:rPr>
          <w:sz w:val="28"/>
          <w:szCs w:val="28"/>
        </w:rPr>
        <w:t>]</w:t>
      </w:r>
      <w:r w:rsidR="007362D4" w:rsidRPr="00EC23CD">
        <w:rPr>
          <w:sz w:val="28"/>
          <w:szCs w:val="28"/>
        </w:rPr>
        <w:t xml:space="preserve"> claims that </w:t>
      </w:r>
      <w:r w:rsidRPr="00EC23CD">
        <w:rPr>
          <w:sz w:val="28"/>
          <w:szCs w:val="28"/>
        </w:rPr>
        <w:t xml:space="preserve">[his </w:t>
      </w:r>
      <w:proofErr w:type="spellStart"/>
      <w:r w:rsidRPr="00EC23CD">
        <w:rPr>
          <w:sz w:val="28"/>
          <w:szCs w:val="28"/>
        </w:rPr>
        <w:t>her</w:t>
      </w:r>
      <w:proofErr w:type="spellEnd"/>
      <w:r w:rsidRPr="00EC23CD">
        <w:rPr>
          <w:sz w:val="28"/>
          <w:szCs w:val="28"/>
        </w:rPr>
        <w:t xml:space="preserve"> its</w:t>
      </w:r>
      <w:r w:rsidR="00EC23CD">
        <w:rPr>
          <w:sz w:val="28"/>
          <w:szCs w:val="28"/>
        </w:rPr>
        <w:t>]</w:t>
      </w:r>
      <w:r w:rsidR="007362D4" w:rsidRPr="00EC23CD">
        <w:rPr>
          <w:sz w:val="28"/>
          <w:szCs w:val="28"/>
        </w:rPr>
        <w:t xml:space="preserve"> failure to </w:t>
      </w:r>
      <w:r w:rsidR="00A13207" w:rsidRPr="00EC23CD">
        <w:rPr>
          <w:sz w:val="28"/>
          <w:szCs w:val="28"/>
        </w:rPr>
        <w:t xml:space="preserve">perform </w:t>
      </w:r>
      <w:r w:rsidR="00EC23CD" w:rsidRPr="00EC23CD">
        <w:rPr>
          <w:sz w:val="28"/>
          <w:szCs w:val="28"/>
        </w:rPr>
        <w:t xml:space="preserve">[his </w:t>
      </w:r>
      <w:proofErr w:type="spellStart"/>
      <w:r w:rsidR="00EC23CD" w:rsidRPr="00EC23CD">
        <w:rPr>
          <w:sz w:val="28"/>
          <w:szCs w:val="28"/>
        </w:rPr>
        <w:t>her</w:t>
      </w:r>
      <w:proofErr w:type="spellEnd"/>
      <w:r w:rsidR="00EC23CD" w:rsidRPr="00EC23CD">
        <w:rPr>
          <w:sz w:val="28"/>
          <w:szCs w:val="28"/>
        </w:rPr>
        <w:t xml:space="preserve"> its</w:t>
      </w:r>
      <w:r w:rsidR="00EC23CD">
        <w:rPr>
          <w:sz w:val="28"/>
          <w:szCs w:val="28"/>
        </w:rPr>
        <w:t>]</w:t>
      </w:r>
      <w:r w:rsidR="007362D4" w:rsidRPr="00EC23CD">
        <w:rPr>
          <w:sz w:val="28"/>
          <w:szCs w:val="28"/>
        </w:rPr>
        <w:t xml:space="preserve"> </w:t>
      </w:r>
      <w:r w:rsidR="00A13207" w:rsidRPr="00EC23CD">
        <w:rPr>
          <w:sz w:val="28"/>
          <w:szCs w:val="28"/>
        </w:rPr>
        <w:t xml:space="preserve">obligations under the contract </w:t>
      </w:r>
      <w:r w:rsidR="007362D4" w:rsidRPr="00EC23CD">
        <w:rPr>
          <w:sz w:val="28"/>
          <w:szCs w:val="28"/>
        </w:rPr>
        <w:t>was excused because of what the law calls frustration of purpose.</w:t>
      </w:r>
    </w:p>
    <w:p w14:paraId="01B25144" w14:textId="77777777" w:rsidR="00346E4A" w:rsidRPr="00EC23CD" w:rsidRDefault="00346E4A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14:paraId="30E4584C" w14:textId="2FB09A43" w:rsidR="00346E4A" w:rsidRPr="00EC23CD" w:rsidRDefault="00AA1FB4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EC23CD">
        <w:rPr>
          <w:sz w:val="28"/>
          <w:szCs w:val="28"/>
        </w:rPr>
        <w:t>[</w:t>
      </w:r>
      <w:r w:rsidR="007362D4" w:rsidRPr="00EC23CD">
        <w:rPr>
          <w:sz w:val="28"/>
          <w:szCs w:val="28"/>
        </w:rPr>
        <w:t>Defendant's</w:t>
      </w:r>
      <w:r w:rsidRPr="00EC23CD">
        <w:rPr>
          <w:sz w:val="28"/>
          <w:szCs w:val="28"/>
        </w:rPr>
        <w:t>]</w:t>
      </w:r>
      <w:r w:rsidR="007362D4" w:rsidRPr="00EC23CD">
        <w:rPr>
          <w:sz w:val="28"/>
          <w:szCs w:val="28"/>
        </w:rPr>
        <w:t xml:space="preserve"> failure to perform </w:t>
      </w:r>
      <w:r w:rsidR="00EC23CD" w:rsidRPr="00EC23CD">
        <w:rPr>
          <w:sz w:val="28"/>
          <w:szCs w:val="28"/>
        </w:rPr>
        <w:t xml:space="preserve">[his </w:t>
      </w:r>
      <w:proofErr w:type="spellStart"/>
      <w:r w:rsidR="00EC23CD" w:rsidRPr="00EC23CD">
        <w:rPr>
          <w:sz w:val="28"/>
          <w:szCs w:val="28"/>
        </w:rPr>
        <w:t>her</w:t>
      </w:r>
      <w:proofErr w:type="spellEnd"/>
      <w:r w:rsidR="00EC23CD" w:rsidRPr="00EC23CD">
        <w:rPr>
          <w:sz w:val="28"/>
          <w:szCs w:val="28"/>
        </w:rPr>
        <w:t xml:space="preserve"> its</w:t>
      </w:r>
      <w:r w:rsidR="00EC23CD">
        <w:rPr>
          <w:sz w:val="28"/>
          <w:szCs w:val="28"/>
        </w:rPr>
        <w:t>]</w:t>
      </w:r>
      <w:r w:rsidR="00BB4A7D" w:rsidRPr="00EC23CD">
        <w:rPr>
          <w:sz w:val="28"/>
          <w:szCs w:val="28"/>
        </w:rPr>
        <w:t xml:space="preserve"> obligations under the contract </w:t>
      </w:r>
      <w:r w:rsidR="007362D4" w:rsidRPr="00EC23CD">
        <w:rPr>
          <w:sz w:val="28"/>
          <w:szCs w:val="28"/>
        </w:rPr>
        <w:t>is excused if it is more likely true than not true that:</w:t>
      </w:r>
    </w:p>
    <w:p w14:paraId="2C7AA29C" w14:textId="77777777" w:rsidR="00610F08" w:rsidRPr="00EC23CD" w:rsidRDefault="00610F08" w:rsidP="00610F08">
      <w:pPr>
        <w:tabs>
          <w:tab w:val="left" w:pos="720"/>
          <w:tab w:val="left" w:pos="1440"/>
        </w:tabs>
        <w:spacing w:line="360" w:lineRule="auto"/>
        <w:ind w:left="720" w:hanging="720"/>
        <w:jc w:val="both"/>
        <w:rPr>
          <w:sz w:val="28"/>
          <w:szCs w:val="28"/>
        </w:rPr>
      </w:pPr>
    </w:p>
    <w:p w14:paraId="77BCFD0E" w14:textId="5E9CABB1" w:rsidR="00610F08" w:rsidRPr="00856CF9" w:rsidRDefault="00841A19" w:rsidP="00856CF9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856CF9">
        <w:rPr>
          <w:sz w:val="28"/>
          <w:szCs w:val="28"/>
        </w:rPr>
        <w:t>A</w:t>
      </w:r>
      <w:r w:rsidR="00610F08" w:rsidRPr="00856CF9">
        <w:rPr>
          <w:sz w:val="28"/>
          <w:szCs w:val="28"/>
        </w:rPr>
        <w:t>fter the parties entered into the contract, an event occurred that substantially</w:t>
      </w:r>
      <w:r w:rsidR="00856CF9">
        <w:rPr>
          <w:sz w:val="28"/>
          <w:szCs w:val="28"/>
        </w:rPr>
        <w:t xml:space="preserve"> </w:t>
      </w:r>
      <w:r w:rsidR="00610F08" w:rsidRPr="00856CF9">
        <w:rPr>
          <w:sz w:val="28"/>
          <w:szCs w:val="28"/>
        </w:rPr>
        <w:t xml:space="preserve">frustrated a principal purpose of the contract; </w:t>
      </w:r>
    </w:p>
    <w:p w14:paraId="7A13E706" w14:textId="28E170FD" w:rsidR="00610F08" w:rsidRDefault="00610F08" w:rsidP="00856CF9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856CF9">
        <w:rPr>
          <w:sz w:val="28"/>
          <w:szCs w:val="28"/>
        </w:rPr>
        <w:t xml:space="preserve">The parties entered into the contract </w:t>
      </w:r>
      <w:r w:rsidR="00841A19" w:rsidRPr="00856CF9">
        <w:rPr>
          <w:sz w:val="28"/>
          <w:szCs w:val="28"/>
        </w:rPr>
        <w:t xml:space="preserve">based </w:t>
      </w:r>
      <w:r w:rsidRPr="00856CF9">
        <w:rPr>
          <w:sz w:val="28"/>
          <w:szCs w:val="28"/>
        </w:rPr>
        <w:t>on the assumption that this event would not occur</w:t>
      </w:r>
      <w:r w:rsidR="00841A19" w:rsidRPr="00856CF9">
        <w:rPr>
          <w:sz w:val="28"/>
          <w:szCs w:val="28"/>
        </w:rPr>
        <w:t>;</w:t>
      </w:r>
      <w:r w:rsidRPr="00856CF9">
        <w:rPr>
          <w:sz w:val="28"/>
          <w:szCs w:val="28"/>
        </w:rPr>
        <w:t xml:space="preserve"> </w:t>
      </w:r>
    </w:p>
    <w:p w14:paraId="6271DA0A" w14:textId="39FED723" w:rsidR="00610F08" w:rsidRDefault="00610F08" w:rsidP="00856CF9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856CF9">
        <w:rPr>
          <w:sz w:val="28"/>
          <w:szCs w:val="28"/>
        </w:rPr>
        <w:t xml:space="preserve">The occurrence of this event was not foreseeable; </w:t>
      </w:r>
    </w:p>
    <w:p w14:paraId="14456011" w14:textId="490D3A7D" w:rsidR="00610F08" w:rsidRPr="00856CF9" w:rsidRDefault="00FC76B8" w:rsidP="00856CF9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spacing w:line="360" w:lineRule="auto"/>
        <w:jc w:val="both"/>
        <w:rPr>
          <w:sz w:val="28"/>
          <w:szCs w:val="28"/>
        </w:rPr>
      </w:pPr>
      <w:r w:rsidRPr="00856CF9">
        <w:rPr>
          <w:sz w:val="28"/>
          <w:szCs w:val="28"/>
        </w:rPr>
        <w:t xml:space="preserve">The event was not [defendant’s] fault.  </w:t>
      </w:r>
    </w:p>
    <w:p w14:paraId="44831F21" w14:textId="77777777" w:rsidR="00346E4A" w:rsidRPr="00EC23CD" w:rsidRDefault="00346E4A" w:rsidP="00856CF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14:paraId="754DFC3E" w14:textId="1E0A136D" w:rsidR="00346E4A" w:rsidRPr="00EC23CD" w:rsidRDefault="007362D4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EC23CD">
        <w:rPr>
          <w:sz w:val="28"/>
          <w:szCs w:val="28"/>
        </w:rPr>
        <w:t xml:space="preserve">If you decide that these </w:t>
      </w:r>
      <w:r w:rsidR="00A13207" w:rsidRPr="00EC23CD">
        <w:rPr>
          <w:sz w:val="28"/>
          <w:szCs w:val="28"/>
        </w:rPr>
        <w:t>four</w:t>
      </w:r>
      <w:r w:rsidR="00F13E65" w:rsidRPr="00EC23CD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 xml:space="preserve">things are more likely true than not true, then </w:t>
      </w:r>
      <w:r w:rsidR="00AA1FB4" w:rsidRPr="00EC23CD">
        <w:rPr>
          <w:sz w:val="28"/>
          <w:szCs w:val="28"/>
        </w:rPr>
        <w:t>[</w:t>
      </w:r>
      <w:r w:rsidRPr="00EC23CD">
        <w:rPr>
          <w:sz w:val="28"/>
          <w:szCs w:val="28"/>
        </w:rPr>
        <w:t>defendant</w:t>
      </w:r>
      <w:r w:rsidR="00AA1FB4" w:rsidRPr="00EC23CD">
        <w:rPr>
          <w:sz w:val="28"/>
          <w:szCs w:val="28"/>
        </w:rPr>
        <w:t>]</w:t>
      </w:r>
      <w:r w:rsidRPr="00EC23CD">
        <w:rPr>
          <w:sz w:val="28"/>
          <w:szCs w:val="28"/>
        </w:rPr>
        <w:t xml:space="preserve"> is excused for failing to </w:t>
      </w:r>
      <w:r w:rsidR="00F13E65" w:rsidRPr="00EC23CD">
        <w:rPr>
          <w:sz w:val="28"/>
          <w:szCs w:val="28"/>
        </w:rPr>
        <w:t xml:space="preserve">perform </w:t>
      </w:r>
      <w:r w:rsidR="00EC23CD" w:rsidRPr="00EC23CD">
        <w:rPr>
          <w:sz w:val="28"/>
          <w:szCs w:val="28"/>
        </w:rPr>
        <w:t xml:space="preserve">[his </w:t>
      </w:r>
      <w:proofErr w:type="spellStart"/>
      <w:r w:rsidR="00EC23CD" w:rsidRPr="00EC23CD">
        <w:rPr>
          <w:sz w:val="28"/>
          <w:szCs w:val="28"/>
        </w:rPr>
        <w:t>her</w:t>
      </w:r>
      <w:proofErr w:type="spellEnd"/>
      <w:r w:rsidR="00EC23CD" w:rsidRPr="00EC23CD">
        <w:rPr>
          <w:sz w:val="28"/>
          <w:szCs w:val="28"/>
        </w:rPr>
        <w:t xml:space="preserve"> its</w:t>
      </w:r>
      <w:r w:rsidR="00EC23CD">
        <w:rPr>
          <w:sz w:val="28"/>
          <w:szCs w:val="28"/>
        </w:rPr>
        <w:t>]</w:t>
      </w:r>
      <w:r w:rsidRPr="00EC23CD">
        <w:rPr>
          <w:sz w:val="28"/>
          <w:szCs w:val="28"/>
        </w:rPr>
        <w:t xml:space="preserve"> </w:t>
      </w:r>
      <w:r w:rsidR="00F13E65" w:rsidRPr="00EC23CD">
        <w:rPr>
          <w:sz w:val="28"/>
          <w:szCs w:val="28"/>
        </w:rPr>
        <w:t>obligations under the contract,</w:t>
      </w:r>
      <w:r w:rsidRPr="00EC23CD">
        <w:rPr>
          <w:sz w:val="28"/>
          <w:szCs w:val="28"/>
        </w:rPr>
        <w:t xml:space="preserve"> and you must return a verdict for </w:t>
      </w:r>
      <w:r w:rsidR="00AA1FB4" w:rsidRPr="00EC23CD">
        <w:rPr>
          <w:sz w:val="28"/>
          <w:szCs w:val="28"/>
        </w:rPr>
        <w:t>[</w:t>
      </w:r>
      <w:r w:rsidRPr="00EC23CD">
        <w:rPr>
          <w:sz w:val="28"/>
          <w:szCs w:val="28"/>
        </w:rPr>
        <w:t>defendant</w:t>
      </w:r>
      <w:r w:rsidR="00AA1FB4" w:rsidRPr="00EC23CD">
        <w:rPr>
          <w:sz w:val="28"/>
          <w:szCs w:val="28"/>
        </w:rPr>
        <w:t>]</w:t>
      </w:r>
      <w:r w:rsidRPr="00EC23CD">
        <w:rPr>
          <w:sz w:val="28"/>
          <w:szCs w:val="28"/>
        </w:rPr>
        <w:t>.</w:t>
      </w:r>
    </w:p>
    <w:p w14:paraId="4BD2CCC3" w14:textId="77777777" w:rsidR="00346E4A" w:rsidRPr="00EC23CD" w:rsidRDefault="00346E4A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</w:p>
    <w:p w14:paraId="71062097" w14:textId="6F1595C2" w:rsidR="00346E4A" w:rsidRPr="00EC23CD" w:rsidRDefault="007362D4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EC23CD">
        <w:rPr>
          <w:sz w:val="28"/>
          <w:szCs w:val="28"/>
        </w:rPr>
        <w:t xml:space="preserve">Otherwise, </w:t>
      </w:r>
      <w:r w:rsidR="00AA1FB4" w:rsidRPr="00EC23CD">
        <w:rPr>
          <w:sz w:val="28"/>
          <w:szCs w:val="28"/>
        </w:rPr>
        <w:t>[</w:t>
      </w:r>
      <w:r w:rsidRPr="00EC23CD">
        <w:rPr>
          <w:sz w:val="28"/>
          <w:szCs w:val="28"/>
        </w:rPr>
        <w:t>defendant</w:t>
      </w:r>
      <w:r w:rsidR="00AA1FB4" w:rsidRPr="00EC23CD">
        <w:rPr>
          <w:sz w:val="28"/>
          <w:szCs w:val="28"/>
        </w:rPr>
        <w:t>]</w:t>
      </w:r>
      <w:r w:rsidRPr="00EC23CD">
        <w:rPr>
          <w:sz w:val="28"/>
          <w:szCs w:val="28"/>
        </w:rPr>
        <w:t xml:space="preserve"> is not excused </w:t>
      </w:r>
      <w:r w:rsidR="00AA1FB4" w:rsidRPr="00EC23CD">
        <w:rPr>
          <w:sz w:val="28"/>
          <w:szCs w:val="28"/>
        </w:rPr>
        <w:t>from per</w:t>
      </w:r>
      <w:r w:rsidR="00A37CB8" w:rsidRPr="00EC23CD">
        <w:rPr>
          <w:sz w:val="28"/>
          <w:szCs w:val="28"/>
        </w:rPr>
        <w:t>f</w:t>
      </w:r>
      <w:r w:rsidR="00AA1FB4" w:rsidRPr="00EC23CD">
        <w:rPr>
          <w:sz w:val="28"/>
          <w:szCs w:val="28"/>
        </w:rPr>
        <w:t xml:space="preserve">orming [his </w:t>
      </w:r>
      <w:proofErr w:type="spellStart"/>
      <w:r w:rsidR="00AA1FB4" w:rsidRPr="00EC23CD">
        <w:rPr>
          <w:sz w:val="28"/>
          <w:szCs w:val="28"/>
        </w:rPr>
        <w:t>her</w:t>
      </w:r>
      <w:proofErr w:type="spellEnd"/>
      <w:r w:rsidR="00AA1FB4" w:rsidRPr="00EC23CD">
        <w:rPr>
          <w:sz w:val="28"/>
          <w:szCs w:val="28"/>
        </w:rPr>
        <w:t xml:space="preserve"> its] obligations under the contract </w:t>
      </w:r>
      <w:r w:rsidRPr="00EC23CD">
        <w:rPr>
          <w:sz w:val="28"/>
          <w:szCs w:val="28"/>
        </w:rPr>
        <w:t>[for this reason].</w:t>
      </w:r>
    </w:p>
    <w:p w14:paraId="55CC2231" w14:textId="77777777" w:rsidR="00EC23CD" w:rsidRDefault="00EC23CD">
      <w:pPr>
        <w:tabs>
          <w:tab w:val="right" w:pos="9569"/>
        </w:tabs>
        <w:jc w:val="center"/>
        <w:rPr>
          <w:b/>
          <w:sz w:val="28"/>
          <w:szCs w:val="28"/>
          <w:u w:val="single"/>
        </w:rPr>
      </w:pPr>
    </w:p>
    <w:p w14:paraId="6241E632" w14:textId="0497FCDB" w:rsidR="008E6DF7" w:rsidRPr="00EC23CD" w:rsidRDefault="00EC23CD">
      <w:pPr>
        <w:tabs>
          <w:tab w:val="right" w:pos="9569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 Note</w:t>
      </w:r>
    </w:p>
    <w:p w14:paraId="1528EE9F" w14:textId="77777777" w:rsidR="008E6DF7" w:rsidRPr="00EC23CD" w:rsidRDefault="008E6DF7">
      <w:pPr>
        <w:tabs>
          <w:tab w:val="right" w:pos="9569"/>
        </w:tabs>
        <w:jc w:val="center"/>
        <w:rPr>
          <w:sz w:val="28"/>
          <w:szCs w:val="28"/>
          <w:u w:val="single"/>
        </w:rPr>
      </w:pPr>
    </w:p>
    <w:p w14:paraId="5E571729" w14:textId="7B86B631" w:rsidR="008E6DF7" w:rsidRPr="00EC23CD" w:rsidRDefault="00610F08" w:rsidP="00894E9F">
      <w:pPr>
        <w:tabs>
          <w:tab w:val="right" w:pos="9569"/>
        </w:tabs>
        <w:jc w:val="both"/>
        <w:rPr>
          <w:sz w:val="28"/>
          <w:szCs w:val="28"/>
        </w:rPr>
      </w:pPr>
      <w:bookmarkStart w:id="0" w:name="_Hlk72224671"/>
      <w:r w:rsidRPr="00EC23CD">
        <w:rPr>
          <w:sz w:val="28"/>
          <w:szCs w:val="28"/>
        </w:rPr>
        <w:t xml:space="preserve">This instruction should be given when a party claims that its </w:t>
      </w:r>
      <w:r w:rsidR="002D68DA" w:rsidRPr="00EC23CD">
        <w:rPr>
          <w:sz w:val="28"/>
          <w:szCs w:val="28"/>
        </w:rPr>
        <w:t>failure to perform the contract is excused under the frustration of purpose doctrine</w:t>
      </w:r>
      <w:r w:rsidR="000533B2" w:rsidRPr="00EC23CD">
        <w:rPr>
          <w:sz w:val="28"/>
          <w:szCs w:val="28"/>
        </w:rPr>
        <w:t xml:space="preserve">, due to an event </w:t>
      </w:r>
      <w:r w:rsidR="00FE091B" w:rsidRPr="00EC23CD">
        <w:rPr>
          <w:sz w:val="28"/>
          <w:szCs w:val="28"/>
        </w:rPr>
        <w:t xml:space="preserve">that </w:t>
      </w:r>
      <w:r w:rsidR="000533B2" w:rsidRPr="00EC23CD">
        <w:rPr>
          <w:sz w:val="28"/>
          <w:szCs w:val="28"/>
        </w:rPr>
        <w:t>occurr</w:t>
      </w:r>
      <w:r w:rsidR="00FE091B" w:rsidRPr="00EC23CD">
        <w:rPr>
          <w:sz w:val="28"/>
          <w:szCs w:val="28"/>
        </w:rPr>
        <w:t>ed</w:t>
      </w:r>
      <w:r w:rsidR="000533B2" w:rsidRPr="00EC23CD">
        <w:rPr>
          <w:sz w:val="28"/>
          <w:szCs w:val="28"/>
        </w:rPr>
        <w:t xml:space="preserve"> </w:t>
      </w:r>
      <w:r w:rsidR="00FE091B" w:rsidRPr="00EC23CD">
        <w:rPr>
          <w:sz w:val="28"/>
          <w:szCs w:val="28"/>
        </w:rPr>
        <w:t>after the parties entered</w:t>
      </w:r>
      <w:r w:rsidR="000533B2" w:rsidRPr="00EC23CD">
        <w:rPr>
          <w:sz w:val="28"/>
          <w:szCs w:val="28"/>
        </w:rPr>
        <w:t xml:space="preserve"> into the contract</w:t>
      </w:r>
      <w:r w:rsidR="002D68DA" w:rsidRPr="00EC23CD">
        <w:rPr>
          <w:sz w:val="28"/>
          <w:szCs w:val="28"/>
        </w:rPr>
        <w:t>.</w:t>
      </w:r>
      <w:r w:rsidR="000533B2" w:rsidRPr="00EC23CD">
        <w:rPr>
          <w:sz w:val="28"/>
          <w:szCs w:val="28"/>
        </w:rPr>
        <w:t xml:space="preserve">  </w:t>
      </w:r>
    </w:p>
    <w:bookmarkEnd w:id="0"/>
    <w:p w14:paraId="2AC24C1B" w14:textId="7AEE665F" w:rsidR="00C1640A" w:rsidRPr="00EC23CD" w:rsidRDefault="00C1640A" w:rsidP="00A13207">
      <w:pPr>
        <w:tabs>
          <w:tab w:val="right" w:pos="9569"/>
        </w:tabs>
        <w:rPr>
          <w:sz w:val="28"/>
          <w:szCs w:val="28"/>
        </w:rPr>
      </w:pPr>
    </w:p>
    <w:p w14:paraId="26DA3E0E" w14:textId="01660872" w:rsidR="00C1640A" w:rsidRPr="00EC23CD" w:rsidRDefault="00C1640A" w:rsidP="00A13207">
      <w:pPr>
        <w:tabs>
          <w:tab w:val="right" w:pos="9569"/>
        </w:tabs>
        <w:rPr>
          <w:sz w:val="28"/>
          <w:szCs w:val="28"/>
          <w:u w:val="single"/>
        </w:rPr>
      </w:pPr>
      <w:r w:rsidRPr="00EC23CD">
        <w:rPr>
          <w:sz w:val="28"/>
          <w:szCs w:val="28"/>
        </w:rPr>
        <w:t>It may be possible to replace</w:t>
      </w:r>
      <w:r w:rsidR="00AA1FB4" w:rsidRPr="00EC23CD">
        <w:rPr>
          <w:sz w:val="28"/>
          <w:szCs w:val="28"/>
        </w:rPr>
        <w:t xml:space="preserve"> the</w:t>
      </w:r>
      <w:r w:rsidRPr="00EC23CD">
        <w:rPr>
          <w:sz w:val="28"/>
          <w:szCs w:val="28"/>
        </w:rPr>
        <w:t xml:space="preserve"> references to “the event” with a short description of the event</w:t>
      </w:r>
      <w:r w:rsidR="00AA1FB4" w:rsidRPr="00EC23CD">
        <w:rPr>
          <w:sz w:val="28"/>
          <w:szCs w:val="28"/>
        </w:rPr>
        <w:t xml:space="preserve"> in question.</w:t>
      </w:r>
    </w:p>
    <w:p w14:paraId="4E207216" w14:textId="77777777" w:rsidR="002D68DA" w:rsidRPr="00EC23CD" w:rsidRDefault="002D68DA" w:rsidP="00A13207">
      <w:pPr>
        <w:tabs>
          <w:tab w:val="right" w:pos="9569"/>
        </w:tabs>
        <w:rPr>
          <w:sz w:val="28"/>
          <w:szCs w:val="28"/>
          <w:u w:val="single"/>
        </w:rPr>
      </w:pPr>
    </w:p>
    <w:p w14:paraId="4DC588F0" w14:textId="77777777" w:rsidR="00346E4A" w:rsidRPr="00EC23CD" w:rsidRDefault="007362D4">
      <w:pPr>
        <w:tabs>
          <w:tab w:val="right" w:pos="9569"/>
        </w:tabs>
        <w:jc w:val="center"/>
        <w:rPr>
          <w:b/>
          <w:sz w:val="28"/>
          <w:szCs w:val="28"/>
          <w:u w:val="single"/>
        </w:rPr>
      </w:pPr>
      <w:r w:rsidRPr="00EC23CD">
        <w:rPr>
          <w:b/>
          <w:sz w:val="28"/>
          <w:szCs w:val="28"/>
          <w:u w:val="single"/>
        </w:rPr>
        <w:t>Comment</w:t>
      </w:r>
    </w:p>
    <w:p w14:paraId="2E233BF3" w14:textId="77777777" w:rsidR="002D68DA" w:rsidRPr="00EC23CD" w:rsidRDefault="002D68DA">
      <w:pPr>
        <w:jc w:val="both"/>
        <w:rPr>
          <w:sz w:val="28"/>
          <w:szCs w:val="28"/>
        </w:rPr>
      </w:pPr>
    </w:p>
    <w:p w14:paraId="749B7085" w14:textId="0C7A13FD" w:rsidR="00FE091B" w:rsidRPr="00EC23CD" w:rsidRDefault="0046102A">
      <w:pPr>
        <w:jc w:val="both"/>
        <w:rPr>
          <w:sz w:val="28"/>
          <w:szCs w:val="28"/>
        </w:rPr>
      </w:pPr>
      <w:r w:rsidRPr="00EC23CD">
        <w:rPr>
          <w:sz w:val="28"/>
          <w:szCs w:val="28"/>
        </w:rPr>
        <w:t>The frustration of purpose defense may arise in connection with an event that occurs after the contract is formed, or in connection with facts existing at the time of contracting</w:t>
      </w:r>
      <w:r w:rsidR="00FE091B" w:rsidRPr="00EC23CD">
        <w:rPr>
          <w:sz w:val="28"/>
          <w:szCs w:val="28"/>
        </w:rPr>
        <w:t xml:space="preserve"> but unknown to the parties.  </w:t>
      </w:r>
      <w:r w:rsidR="00FE091B" w:rsidRPr="00894E9F">
        <w:rPr>
          <w:i/>
          <w:sz w:val="28"/>
          <w:szCs w:val="28"/>
        </w:rPr>
        <w:t>Compare</w:t>
      </w:r>
      <w:r w:rsidR="00FE091B" w:rsidRPr="00EC23CD">
        <w:rPr>
          <w:sz w:val="28"/>
          <w:szCs w:val="28"/>
        </w:rPr>
        <w:t xml:space="preserve"> Restatement (Second) of Contracts § 265 </w:t>
      </w:r>
      <w:r w:rsidR="00FE091B" w:rsidRPr="00894E9F">
        <w:rPr>
          <w:i/>
          <w:sz w:val="28"/>
          <w:szCs w:val="28"/>
        </w:rPr>
        <w:t>with</w:t>
      </w:r>
      <w:r w:rsidR="00FE091B" w:rsidRPr="00EC23CD">
        <w:rPr>
          <w:sz w:val="28"/>
          <w:szCs w:val="28"/>
        </w:rPr>
        <w:t xml:space="preserve"> Restatement (Second) </w:t>
      </w:r>
      <w:r w:rsidR="006144B6" w:rsidRPr="00EC23CD">
        <w:rPr>
          <w:sz w:val="28"/>
          <w:szCs w:val="28"/>
        </w:rPr>
        <w:t>§</w:t>
      </w:r>
      <w:r w:rsidR="006144B6">
        <w:rPr>
          <w:sz w:val="28"/>
          <w:szCs w:val="28"/>
        </w:rPr>
        <w:t xml:space="preserve"> </w:t>
      </w:r>
      <w:r w:rsidR="00FE091B" w:rsidRPr="00EC23CD">
        <w:rPr>
          <w:sz w:val="28"/>
          <w:szCs w:val="28"/>
        </w:rPr>
        <w:t>266(2).</w:t>
      </w:r>
    </w:p>
    <w:p w14:paraId="351874D3" w14:textId="77777777" w:rsidR="00FE091B" w:rsidRPr="00EC23CD" w:rsidRDefault="00FE091B">
      <w:pPr>
        <w:jc w:val="both"/>
        <w:rPr>
          <w:sz w:val="28"/>
          <w:szCs w:val="28"/>
        </w:rPr>
      </w:pPr>
    </w:p>
    <w:p w14:paraId="18BFAE2C" w14:textId="1A8BF713" w:rsidR="00346E4A" w:rsidRPr="00EC23CD" w:rsidRDefault="00DE54C9">
      <w:pPr>
        <w:jc w:val="both"/>
        <w:rPr>
          <w:sz w:val="28"/>
          <w:szCs w:val="28"/>
        </w:rPr>
      </w:pPr>
      <w:r w:rsidRPr="00EC23CD">
        <w:rPr>
          <w:sz w:val="28"/>
          <w:szCs w:val="28"/>
        </w:rPr>
        <w:t>With respect to the frustration of purpose defense</w:t>
      </w:r>
      <w:r w:rsidR="000533B2" w:rsidRPr="00EC23CD">
        <w:rPr>
          <w:sz w:val="28"/>
          <w:szCs w:val="28"/>
        </w:rPr>
        <w:t xml:space="preserve"> based on a subsequent event</w:t>
      </w:r>
      <w:r w:rsidRPr="00EC23CD">
        <w:rPr>
          <w:sz w:val="28"/>
          <w:szCs w:val="28"/>
        </w:rPr>
        <w:t xml:space="preserve">, Alaska follows the </w:t>
      </w:r>
      <w:r w:rsidR="007362D4" w:rsidRPr="00EC23CD">
        <w:rPr>
          <w:sz w:val="28"/>
          <w:szCs w:val="28"/>
        </w:rPr>
        <w:t>Restatement (Second) § 265</w:t>
      </w:r>
      <w:r w:rsidRPr="00EC23CD">
        <w:rPr>
          <w:sz w:val="28"/>
          <w:szCs w:val="28"/>
        </w:rPr>
        <w:t xml:space="preserve">.  </w:t>
      </w:r>
      <w:r w:rsidRPr="00EC23CD">
        <w:rPr>
          <w:i/>
          <w:sz w:val="28"/>
          <w:szCs w:val="28"/>
        </w:rPr>
        <w:t>Stormont v. Astoria</w:t>
      </w:r>
      <w:r w:rsidRPr="00EC23CD">
        <w:rPr>
          <w:sz w:val="28"/>
          <w:szCs w:val="28"/>
        </w:rPr>
        <w:t xml:space="preserve">, </w:t>
      </w:r>
      <w:r w:rsidRPr="00EC23CD">
        <w:rPr>
          <w:i/>
          <w:sz w:val="28"/>
          <w:szCs w:val="28"/>
        </w:rPr>
        <w:t>Ltd</w:t>
      </w:r>
      <w:r w:rsidRPr="00EC23CD">
        <w:rPr>
          <w:sz w:val="28"/>
          <w:szCs w:val="28"/>
        </w:rPr>
        <w:t>., 889 P.2d 1059, 1063 n.7</w:t>
      </w:r>
      <w:r w:rsidR="005C20F5" w:rsidRPr="00EC23CD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 xml:space="preserve">(Alaska 1995); </w:t>
      </w:r>
      <w:r w:rsidR="003D1A6B">
        <w:rPr>
          <w:i/>
          <w:sz w:val="28"/>
          <w:szCs w:val="28"/>
        </w:rPr>
        <w:t>U.S. Smelting,</w:t>
      </w:r>
      <w:r w:rsidRPr="00EC23CD">
        <w:rPr>
          <w:i/>
          <w:sz w:val="28"/>
          <w:szCs w:val="28"/>
        </w:rPr>
        <w:t xml:space="preserve"> Refining &amp; Mining</w:t>
      </w:r>
      <w:r w:rsidR="00841A19" w:rsidRPr="00EC23CD">
        <w:rPr>
          <w:i/>
          <w:sz w:val="28"/>
          <w:szCs w:val="28"/>
        </w:rPr>
        <w:t xml:space="preserve"> </w:t>
      </w:r>
      <w:r w:rsidRPr="00EC23CD">
        <w:rPr>
          <w:i/>
          <w:sz w:val="28"/>
          <w:szCs w:val="28"/>
        </w:rPr>
        <w:t xml:space="preserve">Co. v. </w:t>
      </w:r>
      <w:proofErr w:type="spellStart"/>
      <w:r w:rsidRPr="00EC23CD">
        <w:rPr>
          <w:i/>
          <w:sz w:val="28"/>
          <w:szCs w:val="28"/>
        </w:rPr>
        <w:t>Wigger</w:t>
      </w:r>
      <w:proofErr w:type="spellEnd"/>
      <w:r w:rsidRPr="00EC23CD">
        <w:rPr>
          <w:sz w:val="28"/>
          <w:szCs w:val="28"/>
        </w:rPr>
        <w:t>, 684 P.2d 850, 857 (Alaska 1984</w:t>
      </w:r>
      <w:r w:rsidR="002304D6" w:rsidRPr="00EC23CD">
        <w:rPr>
          <w:sz w:val="28"/>
          <w:szCs w:val="28"/>
        </w:rPr>
        <w:t>).</w:t>
      </w:r>
      <w:r w:rsidR="005D793D" w:rsidRPr="00EC23CD">
        <w:rPr>
          <w:sz w:val="28"/>
          <w:szCs w:val="28"/>
        </w:rPr>
        <w:t xml:space="preserve">   </w:t>
      </w:r>
    </w:p>
    <w:p w14:paraId="38A8278C" w14:textId="77777777" w:rsidR="007E419D" w:rsidRPr="00EC23CD" w:rsidRDefault="007E419D">
      <w:pPr>
        <w:jc w:val="both"/>
        <w:rPr>
          <w:sz w:val="28"/>
          <w:szCs w:val="28"/>
        </w:rPr>
      </w:pPr>
    </w:p>
    <w:p w14:paraId="16D008A6" w14:textId="46C510AA" w:rsidR="00346E4A" w:rsidRPr="00EC23CD" w:rsidRDefault="005D793D">
      <w:pPr>
        <w:rPr>
          <w:sz w:val="28"/>
          <w:szCs w:val="28"/>
        </w:rPr>
      </w:pPr>
      <w:r w:rsidRPr="00EC23CD">
        <w:rPr>
          <w:sz w:val="28"/>
          <w:szCs w:val="28"/>
        </w:rPr>
        <w:t>Section 265 provides:</w:t>
      </w:r>
    </w:p>
    <w:p w14:paraId="45E87DCE" w14:textId="77777777" w:rsidR="005C20F5" w:rsidRPr="00EC23CD" w:rsidRDefault="005C20F5">
      <w:pPr>
        <w:rPr>
          <w:sz w:val="28"/>
          <w:szCs w:val="28"/>
        </w:rPr>
      </w:pPr>
    </w:p>
    <w:p w14:paraId="032F15D7" w14:textId="77777777" w:rsidR="00346E4A" w:rsidRPr="00EC23CD" w:rsidRDefault="007362D4">
      <w:pPr>
        <w:ind w:left="720" w:right="720"/>
        <w:jc w:val="both"/>
        <w:rPr>
          <w:sz w:val="28"/>
          <w:szCs w:val="28"/>
        </w:rPr>
      </w:pPr>
      <w:r w:rsidRPr="00EC23CD">
        <w:rPr>
          <w:sz w:val="28"/>
          <w:szCs w:val="28"/>
        </w:rPr>
        <w:t>Where, after a contract is made, a party's principal purpose is substantially frustrated</w:t>
      </w:r>
      <w:r w:rsidR="00F13E65" w:rsidRPr="00EC23CD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>without his fault by the occurrence of an event the non</w:t>
      </w:r>
      <w:r w:rsidRPr="00EC23CD">
        <w:rPr>
          <w:sz w:val="28"/>
          <w:szCs w:val="28"/>
        </w:rPr>
        <w:noBreakHyphen/>
        <w:t>occurrence of which was a basic assumption on which the contract was made, his remaining duties to render performance are discharged, unless the language or the circumstances indicate the contrary.</w:t>
      </w:r>
    </w:p>
    <w:p w14:paraId="40658FF4" w14:textId="77777777" w:rsidR="002304D6" w:rsidRPr="00EC23CD" w:rsidRDefault="002304D6">
      <w:pPr>
        <w:rPr>
          <w:sz w:val="28"/>
          <w:szCs w:val="28"/>
        </w:rPr>
      </w:pPr>
    </w:p>
    <w:p w14:paraId="13505BFD" w14:textId="77777777" w:rsidR="002304D6" w:rsidRPr="00EC23CD" w:rsidRDefault="002304D6">
      <w:pPr>
        <w:rPr>
          <w:sz w:val="28"/>
          <w:szCs w:val="28"/>
        </w:rPr>
      </w:pPr>
      <w:r w:rsidRPr="00EC23CD">
        <w:rPr>
          <w:sz w:val="28"/>
          <w:szCs w:val="28"/>
        </w:rPr>
        <w:t xml:space="preserve">Comment a to section 265 </w:t>
      </w:r>
      <w:r w:rsidR="005D793D" w:rsidRPr="00EC23CD">
        <w:rPr>
          <w:sz w:val="28"/>
          <w:szCs w:val="28"/>
        </w:rPr>
        <w:t>identifies the following requirements</w:t>
      </w:r>
      <w:r w:rsidRPr="00EC23CD">
        <w:rPr>
          <w:sz w:val="28"/>
          <w:szCs w:val="28"/>
        </w:rPr>
        <w:t xml:space="preserve">:  </w:t>
      </w:r>
    </w:p>
    <w:p w14:paraId="0CE5A2F3" w14:textId="77777777" w:rsidR="002304D6" w:rsidRPr="00EC23CD" w:rsidRDefault="002304D6">
      <w:pPr>
        <w:rPr>
          <w:sz w:val="28"/>
          <w:szCs w:val="28"/>
        </w:rPr>
      </w:pPr>
    </w:p>
    <w:p w14:paraId="60A8F3EE" w14:textId="14F8964F" w:rsidR="002304D6" w:rsidRPr="00EC23CD" w:rsidRDefault="002304D6" w:rsidP="00894E9F">
      <w:pPr>
        <w:ind w:left="720" w:right="720"/>
        <w:jc w:val="both"/>
        <w:rPr>
          <w:sz w:val="28"/>
          <w:szCs w:val="28"/>
        </w:rPr>
      </w:pPr>
      <w:r w:rsidRPr="00EC23CD">
        <w:rPr>
          <w:sz w:val="28"/>
          <w:szCs w:val="28"/>
        </w:rPr>
        <w:t>First, the purpose that is frustrated must have been a principal purpose of that party in making the contract</w:t>
      </w:r>
      <w:r w:rsidR="006144B6">
        <w:rPr>
          <w:sz w:val="28"/>
          <w:szCs w:val="28"/>
        </w:rPr>
        <w:t xml:space="preserve"> </w:t>
      </w:r>
      <w:proofErr w:type="gramStart"/>
      <w:r w:rsidR="005C20F5" w:rsidRPr="00EC23CD">
        <w:rPr>
          <w:sz w:val="28"/>
          <w:szCs w:val="28"/>
        </w:rPr>
        <w:t xml:space="preserve">. . . </w:t>
      </w:r>
      <w:r w:rsidRPr="00EC23CD">
        <w:rPr>
          <w:sz w:val="28"/>
          <w:szCs w:val="28"/>
        </w:rPr>
        <w:t>.</w:t>
      </w:r>
      <w:proofErr w:type="gramEnd"/>
      <w:r w:rsidR="00894E9F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 xml:space="preserve"> Second, the frustration must be substantial</w:t>
      </w:r>
      <w:r w:rsidR="006144B6">
        <w:rPr>
          <w:sz w:val="28"/>
          <w:szCs w:val="28"/>
        </w:rPr>
        <w:t xml:space="preserve"> </w:t>
      </w:r>
      <w:proofErr w:type="gramStart"/>
      <w:r w:rsidRPr="00EC23CD">
        <w:rPr>
          <w:sz w:val="28"/>
          <w:szCs w:val="28"/>
        </w:rPr>
        <w:t>.</w:t>
      </w:r>
      <w:r w:rsidR="005C20F5" w:rsidRPr="00EC23CD">
        <w:rPr>
          <w:sz w:val="28"/>
          <w:szCs w:val="28"/>
        </w:rPr>
        <w:t xml:space="preserve"> . . .</w:t>
      </w:r>
      <w:proofErr w:type="gramEnd"/>
      <w:r w:rsidRPr="00EC23CD">
        <w:rPr>
          <w:sz w:val="28"/>
          <w:szCs w:val="28"/>
        </w:rPr>
        <w:t xml:space="preserve"> </w:t>
      </w:r>
      <w:r w:rsidR="00894E9F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>The frustration must be so severe that it is not fairly to be regarded as within the risks that he assumed under the contract. Third, the non-occurrence of the frustrating event must have been a basic assumption on which the contract was made.</w:t>
      </w:r>
    </w:p>
    <w:p w14:paraId="4CA2DF61" w14:textId="77777777" w:rsidR="00346E4A" w:rsidRPr="00EC23CD" w:rsidRDefault="00346E4A">
      <w:pPr>
        <w:rPr>
          <w:sz w:val="28"/>
          <w:szCs w:val="28"/>
        </w:rPr>
      </w:pPr>
    </w:p>
    <w:p w14:paraId="1F6077FD" w14:textId="25DDFF36" w:rsidR="00AD37E9" w:rsidRPr="00EC23CD" w:rsidRDefault="00AD37E9" w:rsidP="00894E9F">
      <w:pPr>
        <w:jc w:val="both"/>
        <w:rPr>
          <w:sz w:val="28"/>
          <w:szCs w:val="28"/>
        </w:rPr>
      </w:pPr>
      <w:r w:rsidRPr="00EC23CD">
        <w:rPr>
          <w:sz w:val="28"/>
          <w:szCs w:val="28"/>
        </w:rPr>
        <w:t xml:space="preserve">Restatement </w:t>
      </w:r>
      <w:r w:rsidR="006144B6" w:rsidRPr="00EC23CD">
        <w:rPr>
          <w:sz w:val="28"/>
          <w:szCs w:val="28"/>
        </w:rPr>
        <w:t>§</w:t>
      </w:r>
      <w:r w:rsidR="006144B6">
        <w:rPr>
          <w:sz w:val="28"/>
          <w:szCs w:val="28"/>
        </w:rPr>
        <w:t xml:space="preserve"> </w:t>
      </w:r>
      <w:r w:rsidRPr="00EC23CD">
        <w:rPr>
          <w:sz w:val="28"/>
          <w:szCs w:val="28"/>
        </w:rPr>
        <w:t>265, c</w:t>
      </w:r>
      <w:r w:rsidR="003D1A6B">
        <w:rPr>
          <w:sz w:val="28"/>
          <w:szCs w:val="28"/>
        </w:rPr>
        <w:t>omment</w:t>
      </w:r>
      <w:r w:rsidRPr="00EC23CD">
        <w:rPr>
          <w:sz w:val="28"/>
          <w:szCs w:val="28"/>
        </w:rPr>
        <w:t xml:space="preserve"> a, quoted in </w:t>
      </w:r>
      <w:r w:rsidRPr="00EC23CD">
        <w:rPr>
          <w:i/>
          <w:sz w:val="28"/>
          <w:szCs w:val="28"/>
        </w:rPr>
        <w:t>Stormont</w:t>
      </w:r>
      <w:r w:rsidRPr="00EC23CD">
        <w:rPr>
          <w:sz w:val="28"/>
          <w:szCs w:val="28"/>
        </w:rPr>
        <w:t>, 889 P.2d at 1063 n. 7.</w:t>
      </w:r>
    </w:p>
    <w:p w14:paraId="248A5273" w14:textId="77777777" w:rsidR="002D68DA" w:rsidRPr="00EC23CD" w:rsidRDefault="002D68DA">
      <w:pPr>
        <w:jc w:val="both"/>
        <w:rPr>
          <w:sz w:val="28"/>
          <w:szCs w:val="28"/>
        </w:rPr>
      </w:pPr>
      <w:bookmarkStart w:id="1" w:name="_Hlk71801750"/>
    </w:p>
    <w:p w14:paraId="31A7F612" w14:textId="69B4545A" w:rsidR="00653A5D" w:rsidRPr="00EC23CD" w:rsidRDefault="00F240E6" w:rsidP="00894E9F">
      <w:pPr>
        <w:jc w:val="both"/>
        <w:rPr>
          <w:sz w:val="28"/>
          <w:szCs w:val="28"/>
        </w:rPr>
      </w:pPr>
      <w:r w:rsidRPr="00EC23CD">
        <w:rPr>
          <w:sz w:val="28"/>
          <w:szCs w:val="28"/>
        </w:rPr>
        <w:t>Under Alaska law, f</w:t>
      </w:r>
      <w:r w:rsidR="00B12FFC" w:rsidRPr="00EC23CD">
        <w:rPr>
          <w:sz w:val="28"/>
          <w:szCs w:val="28"/>
        </w:rPr>
        <w:t>rustration of pu</w:t>
      </w:r>
      <w:r w:rsidR="005C20F5" w:rsidRPr="00EC23CD">
        <w:rPr>
          <w:sz w:val="28"/>
          <w:szCs w:val="28"/>
        </w:rPr>
        <w:t xml:space="preserve">rpose is not a defense if the event was foreseeable.  </w:t>
      </w:r>
      <w:r w:rsidR="007362D4" w:rsidRPr="00EC23CD">
        <w:rPr>
          <w:i/>
          <w:sz w:val="28"/>
          <w:szCs w:val="28"/>
        </w:rPr>
        <w:t>U</w:t>
      </w:r>
      <w:r w:rsidR="003D1A6B">
        <w:rPr>
          <w:i/>
          <w:sz w:val="28"/>
          <w:szCs w:val="28"/>
        </w:rPr>
        <w:t>.</w:t>
      </w:r>
      <w:r w:rsidR="007362D4" w:rsidRPr="00EC23CD">
        <w:rPr>
          <w:i/>
          <w:sz w:val="28"/>
          <w:szCs w:val="28"/>
        </w:rPr>
        <w:t>S</w:t>
      </w:r>
      <w:r w:rsidR="003D1A6B">
        <w:rPr>
          <w:i/>
          <w:sz w:val="28"/>
          <w:szCs w:val="28"/>
        </w:rPr>
        <w:t>.</w:t>
      </w:r>
      <w:r w:rsidR="007362D4" w:rsidRPr="00EC23CD">
        <w:rPr>
          <w:i/>
          <w:sz w:val="28"/>
          <w:szCs w:val="28"/>
        </w:rPr>
        <w:t xml:space="preserve"> Smelting</w:t>
      </w:r>
      <w:r w:rsidR="007362D4" w:rsidRPr="00EC23CD">
        <w:rPr>
          <w:sz w:val="28"/>
          <w:szCs w:val="28"/>
        </w:rPr>
        <w:t xml:space="preserve">, 684 P.2d </w:t>
      </w:r>
      <w:r w:rsidR="00841A19" w:rsidRPr="00EC23CD">
        <w:rPr>
          <w:sz w:val="28"/>
          <w:szCs w:val="28"/>
        </w:rPr>
        <w:t>at</w:t>
      </w:r>
      <w:r w:rsidR="007362D4" w:rsidRPr="00EC23CD">
        <w:rPr>
          <w:sz w:val="28"/>
          <w:szCs w:val="28"/>
        </w:rPr>
        <w:t xml:space="preserve"> 857</w:t>
      </w:r>
      <w:bookmarkEnd w:id="1"/>
      <w:r w:rsidR="005C20F5" w:rsidRPr="00EC23CD">
        <w:rPr>
          <w:sz w:val="28"/>
          <w:szCs w:val="28"/>
        </w:rPr>
        <w:t>.</w:t>
      </w:r>
      <w:r w:rsidR="00BF5C7F" w:rsidRPr="00EC23CD">
        <w:rPr>
          <w:sz w:val="28"/>
          <w:szCs w:val="28"/>
        </w:rPr>
        <w:t xml:space="preserve">  </w:t>
      </w:r>
    </w:p>
    <w:p w14:paraId="4418F327" w14:textId="77777777" w:rsidR="00653A5D" w:rsidRPr="00EC23CD" w:rsidRDefault="00653A5D" w:rsidP="004325FB">
      <w:pPr>
        <w:rPr>
          <w:sz w:val="28"/>
          <w:szCs w:val="28"/>
        </w:rPr>
      </w:pPr>
    </w:p>
    <w:p w14:paraId="6989BA73" w14:textId="4614FCDA" w:rsidR="00121683" w:rsidRPr="00EC23CD" w:rsidRDefault="00653A5D" w:rsidP="00894E9F">
      <w:pPr>
        <w:jc w:val="both"/>
        <w:rPr>
          <w:sz w:val="28"/>
          <w:szCs w:val="28"/>
        </w:rPr>
      </w:pPr>
      <w:r w:rsidRPr="00EC23CD">
        <w:rPr>
          <w:sz w:val="28"/>
          <w:szCs w:val="28"/>
        </w:rPr>
        <w:t>Alaska also follows the Restatement</w:t>
      </w:r>
      <w:r w:rsidR="003824DF" w:rsidRPr="00EC23CD">
        <w:rPr>
          <w:sz w:val="28"/>
          <w:szCs w:val="28"/>
        </w:rPr>
        <w:t xml:space="preserve"> (Second)</w:t>
      </w:r>
      <w:r w:rsidRPr="00EC23CD">
        <w:rPr>
          <w:sz w:val="28"/>
          <w:szCs w:val="28"/>
        </w:rPr>
        <w:t xml:space="preserve"> with respect to </w:t>
      </w:r>
      <w:r w:rsidR="003824DF" w:rsidRPr="00EC23CD">
        <w:rPr>
          <w:sz w:val="28"/>
          <w:szCs w:val="28"/>
        </w:rPr>
        <w:t xml:space="preserve">the related doctrine of </w:t>
      </w:r>
      <w:r w:rsidRPr="00EC23CD">
        <w:rPr>
          <w:sz w:val="28"/>
          <w:szCs w:val="28"/>
        </w:rPr>
        <w:t xml:space="preserve">frustration of purpose due to facts that were in existence at the time of contracting, but not known to the parties.  </w:t>
      </w:r>
      <w:r w:rsidR="00D66065" w:rsidRPr="00EC23CD">
        <w:rPr>
          <w:i/>
          <w:sz w:val="28"/>
          <w:szCs w:val="28"/>
        </w:rPr>
        <w:t xml:space="preserve">See </w:t>
      </w:r>
      <w:r w:rsidR="00764FD8" w:rsidRPr="00EC23CD">
        <w:rPr>
          <w:i/>
          <w:sz w:val="28"/>
          <w:szCs w:val="28"/>
        </w:rPr>
        <w:t xml:space="preserve">State </w:t>
      </w:r>
      <w:bookmarkStart w:id="2" w:name="_GoBack"/>
      <w:bookmarkEnd w:id="2"/>
      <w:r w:rsidR="00764FD8" w:rsidRPr="00EC23CD">
        <w:rPr>
          <w:i/>
          <w:sz w:val="28"/>
          <w:szCs w:val="28"/>
        </w:rPr>
        <w:t>v. Carpenter</w:t>
      </w:r>
      <w:r w:rsidR="00764FD8" w:rsidRPr="00EC23CD">
        <w:rPr>
          <w:sz w:val="28"/>
          <w:szCs w:val="28"/>
        </w:rPr>
        <w:t>, 869 P.2d 1181, 1184</w:t>
      </w:r>
      <w:r w:rsidRPr="00EC23CD">
        <w:rPr>
          <w:sz w:val="28"/>
          <w:szCs w:val="28"/>
        </w:rPr>
        <w:t xml:space="preserve"> (following </w:t>
      </w:r>
      <w:r w:rsidRPr="00EC23CD">
        <w:rPr>
          <w:sz w:val="28"/>
          <w:szCs w:val="28"/>
        </w:rPr>
        <w:lastRenderedPageBreak/>
        <w:t>Restatement § 266)</w:t>
      </w:r>
      <w:r w:rsidR="00764FD8" w:rsidRPr="00EC23CD">
        <w:rPr>
          <w:sz w:val="28"/>
          <w:szCs w:val="28"/>
        </w:rPr>
        <w:t xml:space="preserve"> (Alaska 1994)</w:t>
      </w:r>
      <w:r w:rsidR="003824DF" w:rsidRPr="00EC23CD">
        <w:rPr>
          <w:sz w:val="28"/>
          <w:szCs w:val="28"/>
        </w:rPr>
        <w:t xml:space="preserve">; </w:t>
      </w:r>
      <w:proofErr w:type="spellStart"/>
      <w:r w:rsidR="003824DF" w:rsidRPr="00EC23CD">
        <w:rPr>
          <w:i/>
          <w:sz w:val="28"/>
          <w:szCs w:val="28"/>
        </w:rPr>
        <w:t>Currington</w:t>
      </w:r>
      <w:proofErr w:type="spellEnd"/>
      <w:r w:rsidR="003824DF" w:rsidRPr="00EC23CD">
        <w:rPr>
          <w:i/>
          <w:sz w:val="28"/>
          <w:szCs w:val="28"/>
        </w:rPr>
        <w:t xml:space="preserve"> v. Johnson</w:t>
      </w:r>
      <w:r w:rsidR="003824DF" w:rsidRPr="00EC23CD">
        <w:rPr>
          <w:sz w:val="28"/>
          <w:szCs w:val="28"/>
        </w:rPr>
        <w:t>, 685 P.2d 73, 78 (Alaska 1984) (same)</w:t>
      </w:r>
      <w:r w:rsidR="00764FD8" w:rsidRPr="00EC23CD">
        <w:rPr>
          <w:sz w:val="28"/>
          <w:szCs w:val="28"/>
        </w:rPr>
        <w:t>.</w:t>
      </w:r>
    </w:p>
    <w:p w14:paraId="63C2C237" w14:textId="0174FEF9" w:rsidR="00121683" w:rsidRPr="00EC23CD" w:rsidRDefault="00121683" w:rsidP="002D68DA">
      <w:pPr>
        <w:jc w:val="both"/>
        <w:rPr>
          <w:sz w:val="28"/>
          <w:szCs w:val="28"/>
        </w:rPr>
      </w:pPr>
    </w:p>
    <w:p w14:paraId="006643F1" w14:textId="6E4931D7" w:rsidR="00FC76B8" w:rsidRPr="00EC23CD" w:rsidRDefault="00FC76B8" w:rsidP="002D68DA">
      <w:pPr>
        <w:jc w:val="both"/>
        <w:rPr>
          <w:sz w:val="28"/>
          <w:szCs w:val="28"/>
        </w:rPr>
      </w:pPr>
    </w:p>
    <w:p w14:paraId="736424BB" w14:textId="154E3C79" w:rsidR="007E419D" w:rsidRPr="00FC76B8" w:rsidRDefault="007E419D">
      <w:pPr>
        <w:jc w:val="both"/>
        <w:rPr>
          <w:rFonts w:ascii="Bookman Old Style" w:hAnsi="Bookman Old Style"/>
          <w:i/>
          <w:sz w:val="26"/>
        </w:rPr>
      </w:pPr>
    </w:p>
    <w:sectPr w:rsidR="007E419D" w:rsidRPr="00FC7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EB5CE" w14:textId="77777777" w:rsidR="00E35AFA" w:rsidRDefault="00E35AFA">
      <w:r>
        <w:separator/>
      </w:r>
    </w:p>
  </w:endnote>
  <w:endnote w:type="continuationSeparator" w:id="0">
    <w:p w14:paraId="6CC97B98" w14:textId="77777777" w:rsidR="00E35AFA" w:rsidRDefault="00E3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3D8DF" w14:textId="72E91762" w:rsidR="00BB4A7D" w:rsidRDefault="005440E4">
    <w:pPr>
      <w:pStyle w:val="DocID"/>
    </w:pPr>
    <w:bookmarkStart w:id="3" w:name="_iDocIDField2fb2d237-e1be-4264-aa50-308d"/>
    <w:r>
      <w:t>152497954.2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22FE9" w14:textId="5CAC06DD" w:rsidR="00EC23CD" w:rsidRDefault="00894E9F">
    <w:pPr>
      <w:pStyle w:val="Footer"/>
    </w:pPr>
    <w:r>
      <w:t>Revised 2022</w:t>
    </w:r>
    <w:r w:rsidR="00EC23CD">
      <w:ptab w:relativeTo="margin" w:alignment="center" w:leader="none"/>
    </w:r>
    <w:r>
      <w:t>24.08B</w:t>
    </w:r>
    <w:r w:rsidR="00EC23CD">
      <w:ptab w:relativeTo="margin" w:alignment="right" w:leader="none"/>
    </w:r>
    <w:r w:rsidR="00EC23CD">
      <w:fldChar w:fldCharType="begin"/>
    </w:r>
    <w:r w:rsidR="00EC23CD">
      <w:instrText xml:space="preserve"> PAGE   \* MERGEFORMAT </w:instrText>
    </w:r>
    <w:r w:rsidR="00EC23CD">
      <w:fldChar w:fldCharType="separate"/>
    </w:r>
    <w:r w:rsidR="00EC23CD">
      <w:rPr>
        <w:noProof/>
      </w:rPr>
      <w:t>1</w:t>
    </w:r>
    <w:r w:rsidR="00EC23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7F18" w14:textId="5750D784" w:rsidR="00BB4A7D" w:rsidRDefault="005440E4">
    <w:pPr>
      <w:pStyle w:val="DocID"/>
    </w:pPr>
    <w:bookmarkStart w:id="4" w:name="_iDocIDFieldbd7da859-6f37-47c1-956d-43ca"/>
    <w:r>
      <w:t>152497954.2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4A02" w14:textId="77777777" w:rsidR="00E35AFA" w:rsidRDefault="00E35AFA">
      <w:r>
        <w:separator/>
      </w:r>
    </w:p>
  </w:footnote>
  <w:footnote w:type="continuationSeparator" w:id="0">
    <w:p w14:paraId="7A37A90E" w14:textId="77777777" w:rsidR="00E35AFA" w:rsidRDefault="00E3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744C" w14:textId="77777777" w:rsidR="00E705EA" w:rsidRDefault="00E7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23A5" w14:textId="77777777" w:rsidR="00346E4A" w:rsidRDefault="00346E4A" w:rsidP="00161258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9C5A" w14:textId="77777777" w:rsidR="00E705EA" w:rsidRDefault="00E7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25544"/>
    <w:multiLevelType w:val="hybridMultilevel"/>
    <w:tmpl w:val="AB3249FE"/>
    <w:lvl w:ilvl="0" w:tplc="7778CBB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D4"/>
    <w:rsid w:val="000533B2"/>
    <w:rsid w:val="000B0E93"/>
    <w:rsid w:val="00110989"/>
    <w:rsid w:val="00121683"/>
    <w:rsid w:val="001248BF"/>
    <w:rsid w:val="0015521B"/>
    <w:rsid w:val="00161258"/>
    <w:rsid w:val="001917B5"/>
    <w:rsid w:val="002304D6"/>
    <w:rsid w:val="002B2A01"/>
    <w:rsid w:val="002D68DA"/>
    <w:rsid w:val="002F1CB1"/>
    <w:rsid w:val="003112A5"/>
    <w:rsid w:val="003434DC"/>
    <w:rsid w:val="00346E4A"/>
    <w:rsid w:val="00364E21"/>
    <w:rsid w:val="00373E19"/>
    <w:rsid w:val="003824DF"/>
    <w:rsid w:val="003B09C0"/>
    <w:rsid w:val="003D1A6B"/>
    <w:rsid w:val="0046102A"/>
    <w:rsid w:val="00466B98"/>
    <w:rsid w:val="00475667"/>
    <w:rsid w:val="00523497"/>
    <w:rsid w:val="005440E4"/>
    <w:rsid w:val="00567317"/>
    <w:rsid w:val="005C20F5"/>
    <w:rsid w:val="005D793D"/>
    <w:rsid w:val="00610F08"/>
    <w:rsid w:val="006144B6"/>
    <w:rsid w:val="0062367B"/>
    <w:rsid w:val="006379AE"/>
    <w:rsid w:val="00653A5D"/>
    <w:rsid w:val="007362D4"/>
    <w:rsid w:val="00764FD8"/>
    <w:rsid w:val="007A7CB9"/>
    <w:rsid w:val="007E419D"/>
    <w:rsid w:val="007F4D39"/>
    <w:rsid w:val="00841A19"/>
    <w:rsid w:val="00856CF9"/>
    <w:rsid w:val="00894E9F"/>
    <w:rsid w:val="008B73C3"/>
    <w:rsid w:val="008E6DF7"/>
    <w:rsid w:val="00905C67"/>
    <w:rsid w:val="00942811"/>
    <w:rsid w:val="00997F44"/>
    <w:rsid w:val="009D069A"/>
    <w:rsid w:val="009E6746"/>
    <w:rsid w:val="00A13207"/>
    <w:rsid w:val="00A37CB8"/>
    <w:rsid w:val="00AA1FB4"/>
    <w:rsid w:val="00AB3876"/>
    <w:rsid w:val="00AD37E9"/>
    <w:rsid w:val="00B05115"/>
    <w:rsid w:val="00B12FFC"/>
    <w:rsid w:val="00B13477"/>
    <w:rsid w:val="00BB4A7D"/>
    <w:rsid w:val="00BF5C7F"/>
    <w:rsid w:val="00C16079"/>
    <w:rsid w:val="00C1640A"/>
    <w:rsid w:val="00D405AB"/>
    <w:rsid w:val="00D4293B"/>
    <w:rsid w:val="00D66065"/>
    <w:rsid w:val="00D74736"/>
    <w:rsid w:val="00D76145"/>
    <w:rsid w:val="00DC6B7A"/>
    <w:rsid w:val="00DE54C9"/>
    <w:rsid w:val="00E35AFA"/>
    <w:rsid w:val="00E705EA"/>
    <w:rsid w:val="00EC23CD"/>
    <w:rsid w:val="00EE5B47"/>
    <w:rsid w:val="00F13E65"/>
    <w:rsid w:val="00F240E6"/>
    <w:rsid w:val="00F61B3C"/>
    <w:rsid w:val="00FC76B8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A60518C"/>
  <w15:docId w15:val="{52716083-086C-470A-B884-B49B784B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customStyle="1" w:styleId="DocID">
    <w:name w:val="DocID"/>
    <w:basedOn w:val="Footer"/>
    <w:next w:val="Footer"/>
    <w:link w:val="DocIDChar"/>
    <w:rsid w:val="00121683"/>
    <w:pPr>
      <w:tabs>
        <w:tab w:val="clear" w:pos="4320"/>
        <w:tab w:val="clear" w:pos="8640"/>
      </w:tabs>
    </w:pPr>
    <w:rPr>
      <w:sz w:val="16"/>
    </w:rPr>
  </w:style>
  <w:style w:type="character" w:customStyle="1" w:styleId="DocIDChar">
    <w:name w:val="DocID Char"/>
    <w:link w:val="DocID"/>
    <w:rsid w:val="00121683"/>
    <w:rPr>
      <w:sz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04D6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B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4A7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4A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A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B4A7D"/>
    <w:rPr>
      <w:b/>
      <w:bCs/>
    </w:rPr>
  </w:style>
  <w:style w:type="paragraph" w:styleId="ListParagraph">
    <w:name w:val="List Paragraph"/>
    <w:basedOn w:val="Normal"/>
    <w:uiPriority w:val="34"/>
    <w:qFormat/>
    <w:rsid w:val="00856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EE88-5DB4-4EFB-A249-801971FE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2022-05-18T21:21:00Z</dcterms:created>
  <dcterms:modified xsi:type="dcterms:W3CDTF">2022-07-26T11:43:00Z</dcterms:modified>
</cp:coreProperties>
</file>