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120DA" w14:textId="0B1952EE" w:rsidR="000878EE" w:rsidRPr="00C90574" w:rsidRDefault="00EB7EF4">
      <w:pPr>
        <w:pStyle w:val="BodyTextIndent2"/>
        <w:rPr>
          <w:rFonts w:ascii="Times New Roman" w:hAnsi="Times New Roman"/>
          <w:sz w:val="28"/>
          <w:szCs w:val="28"/>
        </w:rPr>
      </w:pPr>
      <w:bookmarkStart w:id="0" w:name="_Hlk72224598"/>
      <w:r w:rsidRPr="00C90574">
        <w:rPr>
          <w:rFonts w:ascii="Times New Roman" w:hAnsi="Times New Roman"/>
          <w:sz w:val="28"/>
          <w:szCs w:val="28"/>
        </w:rPr>
        <w:t>24.08C</w:t>
      </w:r>
      <w:r w:rsidRPr="00C90574">
        <w:rPr>
          <w:rFonts w:ascii="Times New Roman" w:hAnsi="Times New Roman"/>
          <w:sz w:val="28"/>
          <w:szCs w:val="28"/>
        </w:rPr>
        <w:tab/>
        <w:t>AFFIRMATIVE DEFENSE — IMPRACTICABILITY</w:t>
      </w:r>
      <w:r w:rsidR="00D70870" w:rsidRPr="00C90574">
        <w:rPr>
          <w:rFonts w:ascii="Times New Roman" w:hAnsi="Times New Roman"/>
          <w:sz w:val="28"/>
          <w:szCs w:val="28"/>
        </w:rPr>
        <w:t xml:space="preserve"> </w:t>
      </w:r>
      <w:r w:rsidRPr="00C90574">
        <w:rPr>
          <w:rFonts w:ascii="Times New Roman" w:hAnsi="Times New Roman"/>
          <w:sz w:val="28"/>
          <w:szCs w:val="28"/>
        </w:rPr>
        <w:t>OF PERFORMANCE</w:t>
      </w:r>
    </w:p>
    <w:bookmarkEnd w:id="0"/>
    <w:p w14:paraId="52A62063" w14:textId="77777777" w:rsidR="000878EE" w:rsidRPr="00C90574" w:rsidRDefault="000878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sz w:val="28"/>
          <w:szCs w:val="28"/>
        </w:rPr>
      </w:pPr>
    </w:p>
    <w:p w14:paraId="4A3563F6" w14:textId="77777777" w:rsidR="000878EE" w:rsidRPr="00C90574" w:rsidRDefault="000878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8"/>
          <w:szCs w:val="28"/>
        </w:rPr>
      </w:pPr>
    </w:p>
    <w:p w14:paraId="7D48A0B7" w14:textId="2519E65D" w:rsidR="000878EE" w:rsidRPr="00C90574" w:rsidRDefault="00A17693" w:rsidP="006F7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C90574">
        <w:rPr>
          <w:sz w:val="28"/>
          <w:szCs w:val="28"/>
        </w:rPr>
        <w:t>[Defendant]</w:t>
      </w:r>
      <w:r w:rsidR="00EB7EF4" w:rsidRPr="00C90574">
        <w:rPr>
          <w:sz w:val="28"/>
          <w:szCs w:val="28"/>
        </w:rPr>
        <w:t xml:space="preserve"> claims that </w:t>
      </w:r>
      <w:r w:rsidRPr="00C90574">
        <w:rPr>
          <w:sz w:val="28"/>
          <w:szCs w:val="28"/>
        </w:rPr>
        <w:t xml:space="preserve">[his </w:t>
      </w:r>
      <w:proofErr w:type="spellStart"/>
      <w:r w:rsidRPr="00C90574">
        <w:rPr>
          <w:sz w:val="28"/>
          <w:szCs w:val="28"/>
        </w:rPr>
        <w:t>her</w:t>
      </w:r>
      <w:proofErr w:type="spellEnd"/>
      <w:r w:rsidRPr="00C90574">
        <w:rPr>
          <w:sz w:val="28"/>
          <w:szCs w:val="28"/>
        </w:rPr>
        <w:t xml:space="preserve"> its]</w:t>
      </w:r>
      <w:r w:rsidR="00EB7EF4" w:rsidRPr="00C90574">
        <w:rPr>
          <w:sz w:val="28"/>
          <w:szCs w:val="28"/>
        </w:rPr>
        <w:t xml:space="preserve"> failure to </w:t>
      </w:r>
      <w:r w:rsidR="00C949CC" w:rsidRPr="00C90574">
        <w:rPr>
          <w:sz w:val="28"/>
          <w:szCs w:val="28"/>
        </w:rPr>
        <w:t xml:space="preserve">perform its obligations under the contract </w:t>
      </w:r>
      <w:r w:rsidR="00EB7EF4" w:rsidRPr="00C90574">
        <w:rPr>
          <w:sz w:val="28"/>
          <w:szCs w:val="28"/>
        </w:rPr>
        <w:t>was excused because of what the law calls impracticability of performance.</w:t>
      </w:r>
    </w:p>
    <w:p w14:paraId="664A9034" w14:textId="77777777" w:rsidR="000878EE" w:rsidRPr="00C90574" w:rsidRDefault="000878EE" w:rsidP="006F7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558B0151" w14:textId="563F6E29" w:rsidR="000878EE" w:rsidRPr="00C90574" w:rsidRDefault="00D70870" w:rsidP="006F726C">
      <w:pPr>
        <w:pStyle w:val="BodyText"/>
        <w:spacing w:line="360" w:lineRule="auto"/>
        <w:rPr>
          <w:rFonts w:ascii="Times New Roman" w:hAnsi="Times New Roman"/>
          <w:sz w:val="28"/>
          <w:szCs w:val="28"/>
        </w:rPr>
      </w:pPr>
      <w:r w:rsidRPr="00C90574">
        <w:rPr>
          <w:rFonts w:ascii="Times New Roman" w:hAnsi="Times New Roman"/>
          <w:sz w:val="28"/>
          <w:szCs w:val="28"/>
        </w:rPr>
        <w:t>[</w:t>
      </w:r>
      <w:r w:rsidR="00EB7EF4" w:rsidRPr="00C90574">
        <w:rPr>
          <w:rFonts w:ascii="Times New Roman" w:hAnsi="Times New Roman"/>
          <w:sz w:val="28"/>
          <w:szCs w:val="28"/>
        </w:rPr>
        <w:t>Defendant's</w:t>
      </w:r>
      <w:r w:rsidRPr="00C90574">
        <w:rPr>
          <w:rFonts w:ascii="Times New Roman" w:hAnsi="Times New Roman"/>
          <w:sz w:val="28"/>
          <w:szCs w:val="28"/>
        </w:rPr>
        <w:t>]</w:t>
      </w:r>
      <w:r w:rsidR="00EB7EF4" w:rsidRPr="00C90574">
        <w:rPr>
          <w:rFonts w:ascii="Times New Roman" w:hAnsi="Times New Roman"/>
          <w:sz w:val="28"/>
          <w:szCs w:val="28"/>
        </w:rPr>
        <w:t xml:space="preserve"> failure to perform is excused if it is more likely true than not true that:</w:t>
      </w:r>
    </w:p>
    <w:p w14:paraId="50BE65E1" w14:textId="77777777" w:rsidR="000878EE" w:rsidRPr="00C90574" w:rsidRDefault="000878EE" w:rsidP="004C2DF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33574055" w14:textId="07374C9E" w:rsidR="00E96D1A" w:rsidRDefault="00E96D1A" w:rsidP="004C2DFF">
      <w:pPr>
        <w:pStyle w:val="ListParagraph"/>
        <w:numPr>
          <w:ilvl w:val="0"/>
          <w:numId w:val="1"/>
        </w:numPr>
        <w:tabs>
          <w:tab w:val="left" w:pos="720"/>
          <w:tab w:val="left" w:pos="1440"/>
        </w:tabs>
        <w:spacing w:line="360" w:lineRule="auto"/>
        <w:jc w:val="both"/>
        <w:rPr>
          <w:sz w:val="28"/>
          <w:szCs w:val="28"/>
        </w:rPr>
      </w:pPr>
      <w:r w:rsidRPr="004C2DFF">
        <w:rPr>
          <w:sz w:val="28"/>
          <w:szCs w:val="28"/>
        </w:rPr>
        <w:t xml:space="preserve">After the parties entered into the contract, an event occurred that made it impracticable for [defendant] to perform its obligations under the contract.  </w:t>
      </w:r>
      <w:r w:rsidR="00F97504" w:rsidRPr="004C2DFF">
        <w:rPr>
          <w:sz w:val="28"/>
          <w:szCs w:val="28"/>
        </w:rPr>
        <w:t xml:space="preserve">Performance of a contract is impracticable when performance requires </w:t>
      </w:r>
      <w:r w:rsidR="001A417F" w:rsidRPr="004C2DFF">
        <w:rPr>
          <w:sz w:val="28"/>
          <w:szCs w:val="28"/>
        </w:rPr>
        <w:t>excessive</w:t>
      </w:r>
      <w:r w:rsidR="00F97504" w:rsidRPr="004C2DFF">
        <w:rPr>
          <w:sz w:val="28"/>
          <w:szCs w:val="28"/>
        </w:rPr>
        <w:t xml:space="preserve"> and unreasonable difficulty, expense, injury or loss</w:t>
      </w:r>
      <w:r w:rsidR="004C2DFF">
        <w:rPr>
          <w:sz w:val="28"/>
          <w:szCs w:val="28"/>
        </w:rPr>
        <w:t>;</w:t>
      </w:r>
    </w:p>
    <w:p w14:paraId="0EE95014" w14:textId="77777777" w:rsidR="004C2DFF" w:rsidRPr="004C2DFF" w:rsidRDefault="004C2DFF" w:rsidP="004C2DFF">
      <w:pPr>
        <w:pStyle w:val="ListParagraph"/>
        <w:tabs>
          <w:tab w:val="left" w:pos="720"/>
          <w:tab w:val="left" w:pos="1440"/>
        </w:tabs>
        <w:spacing w:line="360" w:lineRule="auto"/>
        <w:ind w:left="1440"/>
        <w:jc w:val="both"/>
        <w:rPr>
          <w:sz w:val="28"/>
          <w:szCs w:val="28"/>
        </w:rPr>
      </w:pPr>
    </w:p>
    <w:p w14:paraId="35AAAE5C" w14:textId="1F919397" w:rsidR="00E96D1A" w:rsidRDefault="00E96D1A" w:rsidP="004C2DFF">
      <w:pPr>
        <w:pStyle w:val="ListParagraph"/>
        <w:numPr>
          <w:ilvl w:val="0"/>
          <w:numId w:val="1"/>
        </w:numPr>
        <w:tabs>
          <w:tab w:val="left" w:pos="720"/>
          <w:tab w:val="left" w:pos="1440"/>
        </w:tabs>
        <w:spacing w:line="360" w:lineRule="auto"/>
        <w:jc w:val="both"/>
        <w:rPr>
          <w:sz w:val="28"/>
          <w:szCs w:val="28"/>
        </w:rPr>
      </w:pPr>
      <w:r w:rsidRPr="004C2DFF">
        <w:rPr>
          <w:sz w:val="28"/>
          <w:szCs w:val="28"/>
        </w:rPr>
        <w:t xml:space="preserve">The parties entered into the contract based on the assumption that this event would not occur; </w:t>
      </w:r>
      <w:r w:rsidR="004C2DFF">
        <w:rPr>
          <w:sz w:val="28"/>
          <w:szCs w:val="28"/>
        </w:rPr>
        <w:t>and</w:t>
      </w:r>
    </w:p>
    <w:p w14:paraId="67C29920" w14:textId="77777777" w:rsidR="004C2DFF" w:rsidRPr="004C2DFF" w:rsidRDefault="004C2DFF" w:rsidP="004C2DFF">
      <w:pPr>
        <w:tabs>
          <w:tab w:val="left" w:pos="720"/>
          <w:tab w:val="left" w:pos="1440"/>
        </w:tabs>
        <w:spacing w:line="360" w:lineRule="auto"/>
        <w:jc w:val="both"/>
        <w:rPr>
          <w:sz w:val="28"/>
          <w:szCs w:val="28"/>
        </w:rPr>
      </w:pPr>
    </w:p>
    <w:p w14:paraId="5C01F874" w14:textId="1BEC58F6" w:rsidR="00E96D1A" w:rsidRPr="004C2DFF" w:rsidRDefault="00E96D1A" w:rsidP="004C2DFF">
      <w:pPr>
        <w:pStyle w:val="ListParagraph"/>
        <w:numPr>
          <w:ilvl w:val="0"/>
          <w:numId w:val="1"/>
        </w:numPr>
        <w:tabs>
          <w:tab w:val="left" w:pos="720"/>
          <w:tab w:val="left" w:pos="1440"/>
        </w:tabs>
        <w:spacing w:line="360" w:lineRule="auto"/>
        <w:jc w:val="both"/>
        <w:rPr>
          <w:sz w:val="28"/>
          <w:szCs w:val="28"/>
        </w:rPr>
      </w:pPr>
      <w:r w:rsidRPr="004C2DFF">
        <w:rPr>
          <w:sz w:val="28"/>
          <w:szCs w:val="28"/>
        </w:rPr>
        <w:t xml:space="preserve">The event was not [defendant’s] fault.  </w:t>
      </w:r>
    </w:p>
    <w:p w14:paraId="11F5E5C6" w14:textId="77777777" w:rsidR="000878EE" w:rsidRPr="00C90574" w:rsidRDefault="000878EE" w:rsidP="006F7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217C980D" w14:textId="6DA74BEF" w:rsidR="00E96D1A" w:rsidRPr="00C90574" w:rsidRDefault="00EB7EF4" w:rsidP="006F7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C90574">
        <w:rPr>
          <w:sz w:val="28"/>
          <w:szCs w:val="28"/>
        </w:rPr>
        <w:t xml:space="preserve">If you decide that </w:t>
      </w:r>
      <w:r w:rsidR="00E96D1A" w:rsidRPr="00C90574">
        <w:rPr>
          <w:sz w:val="28"/>
          <w:szCs w:val="28"/>
        </w:rPr>
        <w:t xml:space="preserve">all </w:t>
      </w:r>
      <w:r w:rsidR="00E76534" w:rsidRPr="00C90574">
        <w:rPr>
          <w:sz w:val="28"/>
          <w:szCs w:val="28"/>
        </w:rPr>
        <w:t>three</w:t>
      </w:r>
      <w:r w:rsidR="00E96D1A" w:rsidRPr="00C90574">
        <w:rPr>
          <w:sz w:val="28"/>
          <w:szCs w:val="28"/>
        </w:rPr>
        <w:t xml:space="preserve"> of these </w:t>
      </w:r>
      <w:r w:rsidRPr="00C90574">
        <w:rPr>
          <w:sz w:val="28"/>
          <w:szCs w:val="28"/>
        </w:rPr>
        <w:t xml:space="preserve">things are more likely true than not true, then </w:t>
      </w:r>
      <w:r w:rsidR="00D70870" w:rsidRPr="00C90574">
        <w:rPr>
          <w:sz w:val="28"/>
          <w:szCs w:val="28"/>
        </w:rPr>
        <w:t>[</w:t>
      </w:r>
      <w:r w:rsidRPr="00C90574">
        <w:rPr>
          <w:sz w:val="28"/>
          <w:szCs w:val="28"/>
        </w:rPr>
        <w:t>defendant</w:t>
      </w:r>
      <w:r w:rsidR="00D70870" w:rsidRPr="00C90574">
        <w:rPr>
          <w:sz w:val="28"/>
          <w:szCs w:val="28"/>
        </w:rPr>
        <w:t>]</w:t>
      </w:r>
      <w:r w:rsidRPr="00C90574">
        <w:rPr>
          <w:sz w:val="28"/>
          <w:szCs w:val="28"/>
        </w:rPr>
        <w:t xml:space="preserve"> is excused for failing to keep </w:t>
      </w:r>
      <w:r w:rsidR="000E60D8">
        <w:rPr>
          <w:sz w:val="28"/>
          <w:szCs w:val="28"/>
        </w:rPr>
        <w:t xml:space="preserve">[his </w:t>
      </w:r>
      <w:proofErr w:type="spellStart"/>
      <w:r w:rsidR="000E60D8">
        <w:rPr>
          <w:sz w:val="28"/>
          <w:szCs w:val="28"/>
        </w:rPr>
        <w:t>her</w:t>
      </w:r>
      <w:proofErr w:type="spellEnd"/>
      <w:r w:rsidR="000E60D8">
        <w:rPr>
          <w:sz w:val="28"/>
          <w:szCs w:val="28"/>
        </w:rPr>
        <w:t xml:space="preserve"> its]</w:t>
      </w:r>
      <w:r w:rsidRPr="00C90574">
        <w:rPr>
          <w:sz w:val="28"/>
          <w:szCs w:val="28"/>
        </w:rPr>
        <w:t xml:space="preserve"> promise and you must return a verdict for </w:t>
      </w:r>
      <w:r w:rsidR="00D70870" w:rsidRPr="00C90574">
        <w:rPr>
          <w:sz w:val="28"/>
          <w:szCs w:val="28"/>
        </w:rPr>
        <w:t>[</w:t>
      </w:r>
      <w:r w:rsidRPr="00C90574">
        <w:rPr>
          <w:sz w:val="28"/>
          <w:szCs w:val="28"/>
        </w:rPr>
        <w:t>defendant</w:t>
      </w:r>
      <w:r w:rsidR="00D70870" w:rsidRPr="00C90574">
        <w:rPr>
          <w:sz w:val="28"/>
          <w:szCs w:val="28"/>
        </w:rPr>
        <w:t>]</w:t>
      </w:r>
      <w:r w:rsidRPr="00C90574">
        <w:rPr>
          <w:sz w:val="28"/>
          <w:szCs w:val="28"/>
        </w:rPr>
        <w:t>.</w:t>
      </w:r>
    </w:p>
    <w:p w14:paraId="43E1EA43" w14:textId="77777777" w:rsidR="000878EE" w:rsidRPr="00C90574" w:rsidRDefault="000878EE" w:rsidP="006F7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4CE4E761" w14:textId="1D9F7786" w:rsidR="000878EE" w:rsidRPr="00C90574" w:rsidRDefault="00EB7EF4" w:rsidP="006F726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C90574">
        <w:rPr>
          <w:sz w:val="28"/>
          <w:szCs w:val="28"/>
        </w:rPr>
        <w:t xml:space="preserve">Otherwise, </w:t>
      </w:r>
      <w:r w:rsidR="00D70870" w:rsidRPr="00C90574">
        <w:rPr>
          <w:sz w:val="28"/>
          <w:szCs w:val="28"/>
        </w:rPr>
        <w:t>[</w:t>
      </w:r>
      <w:r w:rsidRPr="00C90574">
        <w:rPr>
          <w:sz w:val="28"/>
          <w:szCs w:val="28"/>
        </w:rPr>
        <w:t>defendant</w:t>
      </w:r>
      <w:r w:rsidR="00D70870" w:rsidRPr="00C90574">
        <w:rPr>
          <w:sz w:val="28"/>
          <w:szCs w:val="28"/>
        </w:rPr>
        <w:t>]</w:t>
      </w:r>
      <w:r w:rsidRPr="00C90574">
        <w:rPr>
          <w:sz w:val="28"/>
          <w:szCs w:val="28"/>
        </w:rPr>
        <w:t xml:space="preserve"> is not excused [for this reason].</w:t>
      </w:r>
    </w:p>
    <w:p w14:paraId="048D4251" w14:textId="77777777" w:rsidR="000878EE" w:rsidRPr="00C90574" w:rsidRDefault="000878E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sz w:val="28"/>
          <w:szCs w:val="28"/>
        </w:rPr>
      </w:pPr>
    </w:p>
    <w:p w14:paraId="3F28ADBE" w14:textId="77777777" w:rsidR="000878EE" w:rsidRPr="00C90574" w:rsidRDefault="00EB7EF4">
      <w:pPr>
        <w:tabs>
          <w:tab w:val="right" w:pos="5597"/>
        </w:tabs>
        <w:ind w:left="4151"/>
        <w:rPr>
          <w:b/>
          <w:sz w:val="28"/>
          <w:szCs w:val="28"/>
          <w:u w:val="single"/>
        </w:rPr>
      </w:pPr>
      <w:r w:rsidRPr="00C90574">
        <w:rPr>
          <w:b/>
          <w:sz w:val="28"/>
          <w:szCs w:val="28"/>
          <w:u w:val="single"/>
        </w:rPr>
        <w:t>Use Note</w:t>
      </w:r>
    </w:p>
    <w:p w14:paraId="169E3229" w14:textId="77777777" w:rsidR="00955A4A" w:rsidRPr="00C90574" w:rsidRDefault="00955A4A">
      <w:pPr>
        <w:tabs>
          <w:tab w:val="right" w:pos="5597"/>
        </w:tabs>
        <w:ind w:left="4151"/>
        <w:rPr>
          <w:sz w:val="28"/>
          <w:szCs w:val="28"/>
          <w:u w:val="single"/>
        </w:rPr>
      </w:pPr>
    </w:p>
    <w:p w14:paraId="71BA0FF2" w14:textId="77777777" w:rsidR="00955A4A" w:rsidRPr="00C90574" w:rsidRDefault="00955A4A" w:rsidP="00A17693">
      <w:pPr>
        <w:ind w:left="58"/>
        <w:jc w:val="both"/>
        <w:rPr>
          <w:sz w:val="28"/>
          <w:szCs w:val="28"/>
        </w:rPr>
      </w:pPr>
      <w:r w:rsidRPr="00C90574">
        <w:rPr>
          <w:sz w:val="28"/>
          <w:szCs w:val="28"/>
        </w:rPr>
        <w:t xml:space="preserve">This instruction should be given when a party claims </w:t>
      </w:r>
      <w:r w:rsidR="005F1F22" w:rsidRPr="00C90574">
        <w:rPr>
          <w:sz w:val="28"/>
          <w:szCs w:val="28"/>
        </w:rPr>
        <w:t xml:space="preserve">that </w:t>
      </w:r>
      <w:r w:rsidR="00FB70C5" w:rsidRPr="00C90574">
        <w:rPr>
          <w:sz w:val="28"/>
          <w:szCs w:val="28"/>
        </w:rPr>
        <w:t xml:space="preserve">an event occurring after contract formation made the party’s performance impracticable.  </w:t>
      </w:r>
    </w:p>
    <w:p w14:paraId="0A02B41F" w14:textId="77777777" w:rsidR="000878EE" w:rsidRPr="00C90574" w:rsidRDefault="000878EE">
      <w:pPr>
        <w:rPr>
          <w:sz w:val="28"/>
          <w:szCs w:val="28"/>
        </w:rPr>
      </w:pPr>
    </w:p>
    <w:p w14:paraId="24C4D0D2" w14:textId="77777777" w:rsidR="000878EE" w:rsidRPr="00C90574" w:rsidRDefault="00EB7EF4" w:rsidP="00C90574">
      <w:pPr>
        <w:tabs>
          <w:tab w:val="right" w:pos="5533"/>
        </w:tabs>
        <w:jc w:val="center"/>
        <w:rPr>
          <w:b/>
          <w:sz w:val="28"/>
          <w:szCs w:val="28"/>
          <w:u w:val="single"/>
        </w:rPr>
      </w:pPr>
      <w:r w:rsidRPr="00C90574">
        <w:rPr>
          <w:b/>
          <w:sz w:val="28"/>
          <w:szCs w:val="28"/>
          <w:u w:val="single"/>
        </w:rPr>
        <w:lastRenderedPageBreak/>
        <w:t>Comment</w:t>
      </w:r>
    </w:p>
    <w:p w14:paraId="2D8BCDAD" w14:textId="77777777" w:rsidR="000878EE" w:rsidRPr="00C90574" w:rsidRDefault="000878EE">
      <w:pPr>
        <w:rPr>
          <w:sz w:val="28"/>
          <w:szCs w:val="28"/>
        </w:rPr>
      </w:pPr>
    </w:p>
    <w:p w14:paraId="675E20F7" w14:textId="4618FAF9" w:rsidR="00955A4A" w:rsidRPr="00C90574" w:rsidRDefault="00955A4A" w:rsidP="00955A4A">
      <w:pPr>
        <w:jc w:val="both"/>
        <w:rPr>
          <w:sz w:val="28"/>
          <w:szCs w:val="28"/>
        </w:rPr>
      </w:pPr>
      <w:r w:rsidRPr="00C90574">
        <w:rPr>
          <w:sz w:val="28"/>
          <w:szCs w:val="28"/>
        </w:rPr>
        <w:t xml:space="preserve">The impracticability defense may arise in connection with an event that occurs after the contract is formed, or in connection with facts existing at the time of contracting but unknown to the parties.  </w:t>
      </w:r>
      <w:r w:rsidRPr="00C90574">
        <w:rPr>
          <w:i/>
          <w:sz w:val="28"/>
          <w:szCs w:val="28"/>
        </w:rPr>
        <w:t xml:space="preserve">Compare </w:t>
      </w:r>
      <w:r w:rsidRPr="00C90574">
        <w:rPr>
          <w:sz w:val="28"/>
          <w:szCs w:val="28"/>
        </w:rPr>
        <w:t xml:space="preserve">Restatement (Second) of Contracts § 261 </w:t>
      </w:r>
      <w:r w:rsidRPr="00C90574">
        <w:rPr>
          <w:i/>
          <w:sz w:val="28"/>
          <w:szCs w:val="28"/>
        </w:rPr>
        <w:t>with</w:t>
      </w:r>
      <w:r w:rsidRPr="00C90574">
        <w:rPr>
          <w:sz w:val="28"/>
          <w:szCs w:val="28"/>
        </w:rPr>
        <w:t xml:space="preserve"> Restatement (Second) §</w:t>
      </w:r>
      <w:r w:rsidR="000E60D8">
        <w:rPr>
          <w:sz w:val="28"/>
          <w:szCs w:val="28"/>
        </w:rPr>
        <w:t xml:space="preserve"> </w:t>
      </w:r>
      <w:r w:rsidRPr="00C90574">
        <w:rPr>
          <w:sz w:val="28"/>
          <w:szCs w:val="28"/>
        </w:rPr>
        <w:t>266(1).</w:t>
      </w:r>
      <w:r w:rsidR="00D70870" w:rsidRPr="00C90574">
        <w:rPr>
          <w:sz w:val="28"/>
          <w:szCs w:val="28"/>
        </w:rPr>
        <w:t xml:space="preserve">  This instruction addresses the </w:t>
      </w:r>
      <w:r w:rsidR="000D143C" w:rsidRPr="00C90574">
        <w:rPr>
          <w:sz w:val="28"/>
          <w:szCs w:val="28"/>
        </w:rPr>
        <w:t>defense based on events that occur</w:t>
      </w:r>
      <w:r w:rsidR="005F1F22" w:rsidRPr="00C90574">
        <w:rPr>
          <w:sz w:val="28"/>
          <w:szCs w:val="28"/>
        </w:rPr>
        <w:t>r</w:t>
      </w:r>
      <w:r w:rsidR="00FB70C5" w:rsidRPr="00C90574">
        <w:rPr>
          <w:sz w:val="28"/>
          <w:szCs w:val="28"/>
        </w:rPr>
        <w:t>ed</w:t>
      </w:r>
      <w:r w:rsidR="000D143C" w:rsidRPr="00C90574">
        <w:rPr>
          <w:sz w:val="28"/>
          <w:szCs w:val="28"/>
        </w:rPr>
        <w:t xml:space="preserve"> </w:t>
      </w:r>
      <w:r w:rsidR="000D143C" w:rsidRPr="00C90574">
        <w:rPr>
          <w:i/>
          <w:sz w:val="28"/>
          <w:szCs w:val="28"/>
        </w:rPr>
        <w:t>after</w:t>
      </w:r>
      <w:r w:rsidR="000D143C" w:rsidRPr="00C90574">
        <w:rPr>
          <w:sz w:val="28"/>
          <w:szCs w:val="28"/>
        </w:rPr>
        <w:t xml:space="preserve"> the contract </w:t>
      </w:r>
      <w:r w:rsidR="00FB70C5" w:rsidRPr="00C90574">
        <w:rPr>
          <w:sz w:val="28"/>
          <w:szCs w:val="28"/>
        </w:rPr>
        <w:t>was</w:t>
      </w:r>
      <w:r w:rsidR="000D143C" w:rsidRPr="00C90574">
        <w:rPr>
          <w:sz w:val="28"/>
          <w:szCs w:val="28"/>
        </w:rPr>
        <w:t xml:space="preserve"> formed.</w:t>
      </w:r>
    </w:p>
    <w:p w14:paraId="212389A3" w14:textId="77777777" w:rsidR="00955A4A" w:rsidRPr="00C90574" w:rsidRDefault="00955A4A">
      <w:pPr>
        <w:rPr>
          <w:sz w:val="28"/>
          <w:szCs w:val="28"/>
        </w:rPr>
      </w:pPr>
    </w:p>
    <w:p w14:paraId="6B63E6E3" w14:textId="4760F2B5" w:rsidR="00BD3F80" w:rsidRPr="00C90574" w:rsidRDefault="00955A4A" w:rsidP="00C90574">
      <w:pPr>
        <w:jc w:val="both"/>
        <w:rPr>
          <w:sz w:val="28"/>
          <w:szCs w:val="28"/>
        </w:rPr>
      </w:pPr>
      <w:r w:rsidRPr="00C90574">
        <w:rPr>
          <w:sz w:val="28"/>
          <w:szCs w:val="28"/>
        </w:rPr>
        <w:t>This instruction follows the requirements stated in Restatement (Second) §</w:t>
      </w:r>
      <w:r w:rsidR="000E60D8">
        <w:rPr>
          <w:sz w:val="28"/>
          <w:szCs w:val="28"/>
        </w:rPr>
        <w:t xml:space="preserve"> </w:t>
      </w:r>
      <w:r w:rsidRPr="00C90574">
        <w:rPr>
          <w:sz w:val="28"/>
          <w:szCs w:val="28"/>
        </w:rPr>
        <w:t>261</w:t>
      </w:r>
      <w:r w:rsidR="00BD3F80" w:rsidRPr="00C90574">
        <w:rPr>
          <w:sz w:val="28"/>
          <w:szCs w:val="28"/>
        </w:rPr>
        <w:t>:</w:t>
      </w:r>
    </w:p>
    <w:p w14:paraId="729D86E7" w14:textId="77777777" w:rsidR="00BD3F80" w:rsidRPr="00C90574" w:rsidRDefault="00BD3F80">
      <w:pPr>
        <w:ind w:left="83"/>
        <w:jc w:val="both"/>
        <w:rPr>
          <w:sz w:val="28"/>
          <w:szCs w:val="28"/>
        </w:rPr>
      </w:pPr>
    </w:p>
    <w:p w14:paraId="204D3040" w14:textId="77777777" w:rsidR="00BD3F80" w:rsidRPr="00C90574" w:rsidRDefault="00BD3F80" w:rsidP="00C90574">
      <w:pPr>
        <w:ind w:left="720" w:right="720"/>
        <w:jc w:val="both"/>
        <w:rPr>
          <w:sz w:val="28"/>
          <w:szCs w:val="28"/>
        </w:rPr>
      </w:pPr>
      <w:r w:rsidRPr="00C90574">
        <w:rPr>
          <w:sz w:val="28"/>
          <w:szCs w:val="28"/>
        </w:rPr>
        <w:t>Where, after a contract is made, a party’s performance is made impracticable without his fault by the occurrence of an event the non-occurrence of which was a basic assumption on which the contract was made, his duty to render that performance is discharged, unless the language or the circumstances indicate the contrary.</w:t>
      </w:r>
    </w:p>
    <w:p w14:paraId="4C40C31E" w14:textId="77777777" w:rsidR="00BD3F80" w:rsidRPr="00C90574" w:rsidRDefault="00BD3F80">
      <w:pPr>
        <w:ind w:left="83"/>
        <w:jc w:val="both"/>
        <w:rPr>
          <w:sz w:val="28"/>
          <w:szCs w:val="28"/>
        </w:rPr>
      </w:pPr>
    </w:p>
    <w:p w14:paraId="02A0771A" w14:textId="1FC8CF3D" w:rsidR="000878EE" w:rsidRPr="00C90574" w:rsidRDefault="00EB7EF4">
      <w:pPr>
        <w:jc w:val="both"/>
        <w:rPr>
          <w:sz w:val="28"/>
          <w:szCs w:val="28"/>
        </w:rPr>
      </w:pPr>
      <w:r w:rsidRPr="00C90574">
        <w:rPr>
          <w:sz w:val="28"/>
          <w:szCs w:val="28"/>
        </w:rPr>
        <w:t>This defense is recognized when an event fails to occur which both parties mutually assumed would occur and, as a result, the promisor's performance can only be done at an excessive and unreasonable cost.</w:t>
      </w:r>
      <w:r w:rsidR="00C90574">
        <w:rPr>
          <w:sz w:val="28"/>
          <w:szCs w:val="28"/>
        </w:rPr>
        <w:t xml:space="preserve"> </w:t>
      </w:r>
      <w:r w:rsidRPr="00C90574">
        <w:rPr>
          <w:sz w:val="28"/>
          <w:szCs w:val="28"/>
        </w:rPr>
        <w:t xml:space="preserve"> </w:t>
      </w:r>
      <w:r w:rsidRPr="00C90574">
        <w:rPr>
          <w:i/>
          <w:sz w:val="28"/>
          <w:szCs w:val="28"/>
        </w:rPr>
        <w:t>Murray E. Gildersleeve Logging Co.</w:t>
      </w:r>
      <w:r w:rsidR="005F1F22" w:rsidRPr="00C90574">
        <w:rPr>
          <w:i/>
          <w:sz w:val="28"/>
          <w:szCs w:val="28"/>
        </w:rPr>
        <w:t xml:space="preserve"> v. Northern Timber Corp.</w:t>
      </w:r>
      <w:r w:rsidRPr="00C90574">
        <w:rPr>
          <w:i/>
          <w:sz w:val="28"/>
          <w:szCs w:val="28"/>
        </w:rPr>
        <w:t>,</w:t>
      </w:r>
      <w:r w:rsidRPr="00C90574">
        <w:rPr>
          <w:sz w:val="28"/>
          <w:szCs w:val="28"/>
        </w:rPr>
        <w:t xml:space="preserve"> 670 P.2d 372, 375 (Alaska 1983).  </w:t>
      </w:r>
      <w:r w:rsidR="00E42EFC" w:rsidRPr="00C90574">
        <w:rPr>
          <w:i/>
          <w:sz w:val="28"/>
          <w:szCs w:val="28"/>
        </w:rPr>
        <w:t>See also</w:t>
      </w:r>
      <w:r w:rsidR="00E42EFC" w:rsidRPr="00C90574">
        <w:rPr>
          <w:sz w:val="28"/>
          <w:szCs w:val="28"/>
        </w:rPr>
        <w:t xml:space="preserve"> </w:t>
      </w:r>
      <w:r w:rsidR="00E42EFC" w:rsidRPr="00C90574">
        <w:rPr>
          <w:i/>
          <w:sz w:val="28"/>
          <w:szCs w:val="28"/>
        </w:rPr>
        <w:t xml:space="preserve">Northern Corp. v. Chugach Elec. </w:t>
      </w:r>
      <w:proofErr w:type="spellStart"/>
      <w:r w:rsidR="00E42EFC" w:rsidRPr="00C90574">
        <w:rPr>
          <w:i/>
          <w:sz w:val="28"/>
          <w:szCs w:val="28"/>
        </w:rPr>
        <w:t>Ass’n</w:t>
      </w:r>
      <w:proofErr w:type="spellEnd"/>
      <w:r w:rsidR="00E42EFC" w:rsidRPr="00C90574">
        <w:rPr>
          <w:sz w:val="28"/>
          <w:szCs w:val="28"/>
        </w:rPr>
        <w:t>, 518 P.2d 76, 81 (Alaska 1974)</w:t>
      </w:r>
      <w:r w:rsidR="00236D80">
        <w:rPr>
          <w:sz w:val="28"/>
          <w:szCs w:val="28"/>
        </w:rPr>
        <w:t>,</w:t>
      </w:r>
      <w:bookmarkStart w:id="1" w:name="_GoBack"/>
      <w:bookmarkEnd w:id="1"/>
      <w:r w:rsidR="00236D80">
        <w:rPr>
          <w:i/>
          <w:sz w:val="28"/>
          <w:szCs w:val="28"/>
        </w:rPr>
        <w:t xml:space="preserve"> vacated in part</w:t>
      </w:r>
      <w:r w:rsidR="00236D80">
        <w:rPr>
          <w:sz w:val="28"/>
          <w:szCs w:val="28"/>
        </w:rPr>
        <w:t>, 523 P.2d 1243 (Alaska 1974)</w:t>
      </w:r>
      <w:r w:rsidR="00FB70C5" w:rsidRPr="00C90574">
        <w:rPr>
          <w:sz w:val="28"/>
          <w:szCs w:val="28"/>
        </w:rPr>
        <w:t>; Restatement (Second) §</w:t>
      </w:r>
      <w:r w:rsidR="000E60D8">
        <w:rPr>
          <w:sz w:val="28"/>
          <w:szCs w:val="28"/>
        </w:rPr>
        <w:t xml:space="preserve"> </w:t>
      </w:r>
      <w:r w:rsidR="00FB70C5" w:rsidRPr="00C90574">
        <w:rPr>
          <w:sz w:val="28"/>
          <w:szCs w:val="28"/>
        </w:rPr>
        <w:t xml:space="preserve">261 </w:t>
      </w:r>
      <w:r w:rsidR="005E0687">
        <w:rPr>
          <w:sz w:val="28"/>
          <w:szCs w:val="28"/>
        </w:rPr>
        <w:t>comment</w:t>
      </w:r>
      <w:r w:rsidR="00FB70C5" w:rsidRPr="00C90574">
        <w:rPr>
          <w:sz w:val="28"/>
          <w:szCs w:val="28"/>
        </w:rPr>
        <w:t xml:space="preserve"> d (defining impracticability)</w:t>
      </w:r>
      <w:r w:rsidR="00E42EFC" w:rsidRPr="00C90574">
        <w:rPr>
          <w:sz w:val="28"/>
          <w:szCs w:val="28"/>
        </w:rPr>
        <w:t xml:space="preserve">. </w:t>
      </w:r>
    </w:p>
    <w:p w14:paraId="6105E41B" w14:textId="77777777" w:rsidR="000878EE" w:rsidRPr="00C90574" w:rsidRDefault="000878EE">
      <w:pPr>
        <w:rPr>
          <w:sz w:val="28"/>
          <w:szCs w:val="28"/>
        </w:rPr>
      </w:pPr>
    </w:p>
    <w:p w14:paraId="5034E34E" w14:textId="5CA96F34" w:rsidR="001C523A" w:rsidRPr="00C90574" w:rsidRDefault="00876DB7" w:rsidP="007F6C24">
      <w:pPr>
        <w:jc w:val="both"/>
        <w:rPr>
          <w:sz w:val="28"/>
          <w:szCs w:val="28"/>
        </w:rPr>
      </w:pPr>
      <w:r>
        <w:rPr>
          <w:sz w:val="28"/>
          <w:szCs w:val="28"/>
        </w:rPr>
        <w:t>Under Alaska law, w</w:t>
      </w:r>
      <w:r w:rsidR="001C523A" w:rsidRPr="00C90574">
        <w:rPr>
          <w:sz w:val="28"/>
          <w:szCs w:val="28"/>
        </w:rPr>
        <w:t xml:space="preserve">hether impracticability of performance is a question of law or fact is undecided.  </w:t>
      </w:r>
      <w:r w:rsidR="001C523A" w:rsidRPr="00C90574">
        <w:rPr>
          <w:i/>
          <w:sz w:val="28"/>
          <w:szCs w:val="28"/>
        </w:rPr>
        <w:t>Murray E. Gildersleeve Logging Co.</w:t>
      </w:r>
      <w:r w:rsidR="00451533" w:rsidRPr="00C90574">
        <w:rPr>
          <w:sz w:val="28"/>
          <w:szCs w:val="28"/>
        </w:rPr>
        <w:t xml:space="preserve">, </w:t>
      </w:r>
      <w:r w:rsidR="001C523A" w:rsidRPr="00C90574">
        <w:rPr>
          <w:sz w:val="28"/>
          <w:szCs w:val="28"/>
        </w:rPr>
        <w:t xml:space="preserve">670 P. 2d </w:t>
      </w:r>
      <w:r w:rsidR="00451533" w:rsidRPr="00C90574">
        <w:rPr>
          <w:sz w:val="28"/>
          <w:szCs w:val="28"/>
        </w:rPr>
        <w:t>at</w:t>
      </w:r>
      <w:r w:rsidR="001C523A" w:rsidRPr="00C90574">
        <w:rPr>
          <w:sz w:val="28"/>
          <w:szCs w:val="28"/>
        </w:rPr>
        <w:t xml:space="preserve"> 376</w:t>
      </w:r>
      <w:r w:rsidR="00451533" w:rsidRPr="00C90574">
        <w:rPr>
          <w:sz w:val="28"/>
          <w:szCs w:val="28"/>
        </w:rPr>
        <w:t>.</w:t>
      </w:r>
    </w:p>
    <w:p w14:paraId="1800FA82" w14:textId="77777777" w:rsidR="00861646" w:rsidRPr="00C90574" w:rsidRDefault="00861646" w:rsidP="007F6C24">
      <w:pPr>
        <w:jc w:val="both"/>
        <w:rPr>
          <w:sz w:val="28"/>
          <w:szCs w:val="28"/>
        </w:rPr>
      </w:pPr>
    </w:p>
    <w:p w14:paraId="78971887" w14:textId="75142FDE" w:rsidR="00861646" w:rsidRPr="00C90574" w:rsidRDefault="00861646" w:rsidP="007F6C24">
      <w:pPr>
        <w:jc w:val="both"/>
        <w:rPr>
          <w:sz w:val="28"/>
          <w:szCs w:val="28"/>
        </w:rPr>
      </w:pPr>
      <w:r w:rsidRPr="00C90574">
        <w:rPr>
          <w:sz w:val="28"/>
          <w:szCs w:val="28"/>
        </w:rPr>
        <w:t>The Restatement comments indicate that foreseeability is a factor that is considered in determining whet</w:t>
      </w:r>
      <w:r w:rsidR="00E53774" w:rsidRPr="00C90574">
        <w:rPr>
          <w:sz w:val="28"/>
          <w:szCs w:val="28"/>
        </w:rPr>
        <w:t>her the parties assumed that the event would not occur, but foreseeability alone is not controlling.  Restatement (Second) §</w:t>
      </w:r>
      <w:r w:rsidR="000E60D8">
        <w:rPr>
          <w:sz w:val="28"/>
          <w:szCs w:val="28"/>
        </w:rPr>
        <w:t xml:space="preserve"> </w:t>
      </w:r>
      <w:r w:rsidR="00E53774" w:rsidRPr="00C90574">
        <w:rPr>
          <w:sz w:val="28"/>
          <w:szCs w:val="28"/>
        </w:rPr>
        <w:t>261 c</w:t>
      </w:r>
      <w:r w:rsidR="005E0687">
        <w:rPr>
          <w:sz w:val="28"/>
          <w:szCs w:val="28"/>
        </w:rPr>
        <w:t>om</w:t>
      </w:r>
      <w:r w:rsidR="00E53774" w:rsidRPr="00C90574">
        <w:rPr>
          <w:sz w:val="28"/>
          <w:szCs w:val="28"/>
        </w:rPr>
        <w:t>m</w:t>
      </w:r>
      <w:r w:rsidR="005E0687">
        <w:rPr>
          <w:sz w:val="28"/>
          <w:szCs w:val="28"/>
        </w:rPr>
        <w:t>ent</w:t>
      </w:r>
      <w:r w:rsidR="00E53774" w:rsidRPr="00C90574">
        <w:rPr>
          <w:sz w:val="28"/>
          <w:szCs w:val="28"/>
        </w:rPr>
        <w:t xml:space="preserve"> b.  </w:t>
      </w:r>
      <w:r w:rsidR="007C01AB" w:rsidRPr="00C90574">
        <w:rPr>
          <w:i/>
          <w:sz w:val="28"/>
          <w:szCs w:val="28"/>
        </w:rPr>
        <w:t>See also</w:t>
      </w:r>
      <w:r w:rsidR="007C01AB" w:rsidRPr="00C90574">
        <w:rPr>
          <w:sz w:val="28"/>
          <w:szCs w:val="28"/>
        </w:rPr>
        <w:t xml:space="preserve"> 2 </w:t>
      </w:r>
      <w:r w:rsidR="007C01AB" w:rsidRPr="005E0687">
        <w:rPr>
          <w:sz w:val="28"/>
          <w:szCs w:val="28"/>
        </w:rPr>
        <w:t>Farnsworth on Contracts</w:t>
      </w:r>
      <w:r w:rsidR="007C01AB" w:rsidRPr="00C90574">
        <w:rPr>
          <w:sz w:val="28"/>
          <w:szCs w:val="28"/>
        </w:rPr>
        <w:t xml:space="preserve"> §</w:t>
      </w:r>
      <w:r w:rsidR="000E60D8">
        <w:rPr>
          <w:sz w:val="28"/>
          <w:szCs w:val="28"/>
        </w:rPr>
        <w:t xml:space="preserve"> </w:t>
      </w:r>
      <w:r w:rsidR="007C01AB" w:rsidRPr="00C90574">
        <w:rPr>
          <w:sz w:val="28"/>
          <w:szCs w:val="28"/>
        </w:rPr>
        <w:t xml:space="preserve">9.08 (4th ed. 2021).  Accordingly, </w:t>
      </w:r>
      <w:proofErr w:type="spellStart"/>
      <w:r w:rsidR="007C01AB" w:rsidRPr="00C90574">
        <w:rPr>
          <w:sz w:val="28"/>
          <w:szCs w:val="28"/>
        </w:rPr>
        <w:t>unfor</w:t>
      </w:r>
      <w:r w:rsidR="00C90574">
        <w:rPr>
          <w:sz w:val="28"/>
          <w:szCs w:val="28"/>
        </w:rPr>
        <w:t>e</w:t>
      </w:r>
      <w:r w:rsidR="007C01AB" w:rsidRPr="00C90574">
        <w:rPr>
          <w:sz w:val="28"/>
          <w:szCs w:val="28"/>
        </w:rPr>
        <w:t>seeability</w:t>
      </w:r>
      <w:proofErr w:type="spellEnd"/>
      <w:r w:rsidR="007C01AB" w:rsidRPr="00C90574">
        <w:rPr>
          <w:sz w:val="28"/>
          <w:szCs w:val="28"/>
        </w:rPr>
        <w:t xml:space="preserve"> is not stated as an element in this instruction.  </w:t>
      </w:r>
      <w:r w:rsidR="00E53774" w:rsidRPr="00C90574">
        <w:rPr>
          <w:sz w:val="28"/>
          <w:szCs w:val="28"/>
        </w:rPr>
        <w:t xml:space="preserve">In contrast, </w:t>
      </w:r>
      <w:r w:rsidR="00E76534" w:rsidRPr="00C90574">
        <w:rPr>
          <w:sz w:val="28"/>
          <w:szCs w:val="28"/>
        </w:rPr>
        <w:t>to establish</w:t>
      </w:r>
      <w:r w:rsidR="00E53774" w:rsidRPr="00C90574">
        <w:rPr>
          <w:sz w:val="28"/>
          <w:szCs w:val="28"/>
        </w:rPr>
        <w:t xml:space="preserve"> the defense of frustration of purpose, Alaska case law requires that the event must have been unforeseeable.  </w:t>
      </w:r>
      <w:r w:rsidR="00E53774" w:rsidRPr="00C90574">
        <w:rPr>
          <w:i/>
          <w:sz w:val="28"/>
          <w:szCs w:val="28"/>
        </w:rPr>
        <w:t xml:space="preserve">See </w:t>
      </w:r>
      <w:r w:rsidR="00E53774" w:rsidRPr="00C90574">
        <w:rPr>
          <w:sz w:val="28"/>
          <w:szCs w:val="28"/>
        </w:rPr>
        <w:t>Comment to Instruction 24.08B.</w:t>
      </w:r>
    </w:p>
    <w:p w14:paraId="5794E1F0" w14:textId="77777777" w:rsidR="00745B2B" w:rsidRPr="00C90574" w:rsidRDefault="00745B2B" w:rsidP="007F6C24">
      <w:pPr>
        <w:jc w:val="both"/>
        <w:rPr>
          <w:sz w:val="28"/>
          <w:szCs w:val="28"/>
        </w:rPr>
      </w:pPr>
    </w:p>
    <w:p w14:paraId="46D47F98" w14:textId="7F82E7C0" w:rsidR="001C523A" w:rsidRPr="00C90574" w:rsidRDefault="00451533">
      <w:pPr>
        <w:jc w:val="both"/>
        <w:rPr>
          <w:sz w:val="28"/>
          <w:szCs w:val="28"/>
        </w:rPr>
      </w:pPr>
      <w:r w:rsidRPr="00C90574">
        <w:rPr>
          <w:sz w:val="28"/>
          <w:szCs w:val="28"/>
        </w:rPr>
        <w:t xml:space="preserve">Alaska follows the Restatement (Second) with respect to the related defense of impracticability due to facts that were in existence at the time of contracting, but not known to the parties.  </w:t>
      </w:r>
      <w:r w:rsidRPr="00C90574">
        <w:rPr>
          <w:i/>
          <w:sz w:val="28"/>
          <w:szCs w:val="28"/>
        </w:rPr>
        <w:t>See State of Alaska v. Carpenter</w:t>
      </w:r>
      <w:r w:rsidRPr="00C90574">
        <w:rPr>
          <w:sz w:val="28"/>
          <w:szCs w:val="28"/>
        </w:rPr>
        <w:t xml:space="preserve">, 869 P.2d 1181, 1184 </w:t>
      </w:r>
      <w:r w:rsidR="003934BD">
        <w:rPr>
          <w:sz w:val="28"/>
          <w:szCs w:val="28"/>
        </w:rPr>
        <w:t xml:space="preserve">(Alaska 1994) </w:t>
      </w:r>
      <w:r w:rsidRPr="00C90574">
        <w:rPr>
          <w:sz w:val="28"/>
          <w:szCs w:val="28"/>
        </w:rPr>
        <w:t>(following Restatement</w:t>
      </w:r>
      <w:r w:rsidR="005E0687">
        <w:rPr>
          <w:sz w:val="28"/>
          <w:szCs w:val="28"/>
        </w:rPr>
        <w:t xml:space="preserve"> (Second)</w:t>
      </w:r>
      <w:r w:rsidRPr="00C90574">
        <w:rPr>
          <w:sz w:val="28"/>
          <w:szCs w:val="28"/>
        </w:rPr>
        <w:t xml:space="preserve"> §</w:t>
      </w:r>
      <w:r w:rsidR="000E60D8">
        <w:rPr>
          <w:sz w:val="28"/>
          <w:szCs w:val="28"/>
        </w:rPr>
        <w:t xml:space="preserve"> </w:t>
      </w:r>
      <w:r w:rsidRPr="00C90574">
        <w:rPr>
          <w:sz w:val="28"/>
          <w:szCs w:val="28"/>
        </w:rPr>
        <w:t>266</w:t>
      </w:r>
      <w:r w:rsidR="00D70870" w:rsidRPr="00C90574">
        <w:rPr>
          <w:sz w:val="28"/>
          <w:szCs w:val="28"/>
        </w:rPr>
        <w:t>(1)</w:t>
      </w:r>
      <w:r w:rsidRPr="00C90574">
        <w:rPr>
          <w:sz w:val="28"/>
          <w:szCs w:val="28"/>
        </w:rPr>
        <w:t>).</w:t>
      </w:r>
    </w:p>
    <w:sectPr w:rsidR="001C523A" w:rsidRPr="00C90574">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EFAFD" w14:textId="77777777" w:rsidR="00E91D00" w:rsidRDefault="00E91D00">
      <w:r>
        <w:separator/>
      </w:r>
    </w:p>
  </w:endnote>
  <w:endnote w:type="continuationSeparator" w:id="0">
    <w:p w14:paraId="5A6652CE" w14:textId="77777777" w:rsidR="00E91D00" w:rsidRDefault="00E9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BA2B" w14:textId="7C724B81" w:rsidR="001C523A" w:rsidRDefault="001734EA">
    <w:pPr>
      <w:pStyle w:val="DocID"/>
    </w:pPr>
    <w:bookmarkStart w:id="2" w:name="_iDocIDFieldcfc4fd53-ab72-41ba-a9e2-d5d3"/>
    <w:r>
      <w:t>152527603.1</w:t>
    </w:r>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C7ED7" w14:textId="4D563ABA" w:rsidR="00C90574" w:rsidRDefault="00C90574">
    <w:pPr>
      <w:pStyle w:val="Footer"/>
    </w:pPr>
    <w:r>
      <w:t>Revised 2022</w:t>
    </w:r>
    <w:r>
      <w:ptab w:relativeTo="margin" w:alignment="center" w:leader="none"/>
    </w:r>
    <w:r>
      <w:t>24.08C</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6EE83" w14:textId="03AD2326" w:rsidR="001C523A" w:rsidRDefault="001734EA">
    <w:pPr>
      <w:pStyle w:val="DocID"/>
    </w:pPr>
    <w:bookmarkStart w:id="3" w:name="_iDocIDField056518e2-d7ff-43f9-99ce-9213"/>
    <w:r>
      <w:t>152527603.1</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242FE" w14:textId="77777777" w:rsidR="00E91D00" w:rsidRDefault="00E91D00">
      <w:r>
        <w:separator/>
      </w:r>
    </w:p>
  </w:footnote>
  <w:footnote w:type="continuationSeparator" w:id="0">
    <w:p w14:paraId="1771269E" w14:textId="77777777" w:rsidR="00E91D00" w:rsidRDefault="00E91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91C60" w14:textId="77777777" w:rsidR="002F43D3" w:rsidRDefault="002F43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4286" w14:textId="2AA4B0A4" w:rsidR="007B4260" w:rsidRPr="00DC603D" w:rsidRDefault="007B4260" w:rsidP="00CA293C">
    <w:pPr>
      <w:pStyle w:val="Header"/>
      <w:jc w:val="right"/>
      <w:rPr>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D6A2" w14:textId="77777777" w:rsidR="002F43D3" w:rsidRDefault="002F43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EEE"/>
    <w:multiLevelType w:val="hybridMultilevel"/>
    <w:tmpl w:val="F0521BB4"/>
    <w:lvl w:ilvl="0" w:tplc="7778CBB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F4"/>
    <w:rsid w:val="00056E64"/>
    <w:rsid w:val="000878EE"/>
    <w:rsid w:val="000931BD"/>
    <w:rsid w:val="000D143C"/>
    <w:rsid w:val="000E60D8"/>
    <w:rsid w:val="0014716B"/>
    <w:rsid w:val="001734EA"/>
    <w:rsid w:val="001A417F"/>
    <w:rsid w:val="001C523A"/>
    <w:rsid w:val="001E4EA1"/>
    <w:rsid w:val="00236D80"/>
    <w:rsid w:val="002F43D3"/>
    <w:rsid w:val="003934BD"/>
    <w:rsid w:val="003B156C"/>
    <w:rsid w:val="003F1BBF"/>
    <w:rsid w:val="004368D9"/>
    <w:rsid w:val="00451533"/>
    <w:rsid w:val="00490108"/>
    <w:rsid w:val="004C2DFF"/>
    <w:rsid w:val="00516096"/>
    <w:rsid w:val="005702FE"/>
    <w:rsid w:val="005E0687"/>
    <w:rsid w:val="005F1F22"/>
    <w:rsid w:val="0066122E"/>
    <w:rsid w:val="006D00CA"/>
    <w:rsid w:val="006F726C"/>
    <w:rsid w:val="00745B2B"/>
    <w:rsid w:val="007B4260"/>
    <w:rsid w:val="007C01AB"/>
    <w:rsid w:val="00842466"/>
    <w:rsid w:val="00861646"/>
    <w:rsid w:val="00876DB7"/>
    <w:rsid w:val="008A7DB2"/>
    <w:rsid w:val="008B50CD"/>
    <w:rsid w:val="00932DF5"/>
    <w:rsid w:val="00955A4A"/>
    <w:rsid w:val="009911F7"/>
    <w:rsid w:val="009914FA"/>
    <w:rsid w:val="009D708E"/>
    <w:rsid w:val="00A17693"/>
    <w:rsid w:val="00B271F0"/>
    <w:rsid w:val="00BD3F80"/>
    <w:rsid w:val="00BE3697"/>
    <w:rsid w:val="00C90574"/>
    <w:rsid w:val="00C949CC"/>
    <w:rsid w:val="00CA293C"/>
    <w:rsid w:val="00D70870"/>
    <w:rsid w:val="00DC603D"/>
    <w:rsid w:val="00E42EFC"/>
    <w:rsid w:val="00E53774"/>
    <w:rsid w:val="00E76534"/>
    <w:rsid w:val="00E91D00"/>
    <w:rsid w:val="00E96D1A"/>
    <w:rsid w:val="00EB7EF4"/>
    <w:rsid w:val="00EC0AD3"/>
    <w:rsid w:val="00F910FB"/>
    <w:rsid w:val="00F97504"/>
    <w:rsid w:val="00FB70C5"/>
    <w:rsid w:val="00FC4FD5"/>
    <w:rsid w:val="00FF2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BD40731"/>
  <w15:docId w15:val="{A6A59306-898F-46DC-853F-8532D4E3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5A4A"/>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pPr>
    <w:rPr>
      <w:rFonts w:ascii="Bookman Old Style" w:hAnsi="Bookman Old Style"/>
      <w:vanish/>
      <w:sz w:val="26"/>
    </w:rPr>
  </w:style>
  <w:style w:type="paragraph" w:styleId="BodyTextIndent2">
    <w:name w:val="Body Text Indent 2"/>
    <w:basedOn w:val="Normal"/>
    <w:link w:val="BodyTextIndent2Char"/>
    <w:pPr>
      <w:tabs>
        <w:tab w:val="left" w:pos="1422"/>
        <w:tab w:val="right" w:pos="9546"/>
      </w:tabs>
      <w:ind w:left="1440" w:hanging="1440"/>
    </w:pPr>
    <w:rPr>
      <w:rFonts w:ascii="Bookman Old Style" w:hAnsi="Bookman Old Style"/>
      <w:b/>
      <w:sz w:val="26"/>
    </w:rPr>
  </w:style>
  <w:style w:type="character" w:styleId="PageNumber">
    <w:name w:val="page number"/>
    <w:basedOn w:val="DefaultParagraphFont"/>
    <w:semiHidden/>
  </w:style>
  <w:style w:type="paragraph" w:styleId="BodyTextIndent3">
    <w:name w:val="Body Text Indent 3"/>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720" w:hanging="720"/>
      <w:jc w:val="both"/>
    </w:pPr>
    <w:rPr>
      <w:rFonts w:ascii="Bookman Old Style" w:hAnsi="Bookman Old Style"/>
      <w:sz w:val="26"/>
    </w:r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Bookman Old Style" w:hAnsi="Bookman Old Style"/>
      <w:sz w:val="26"/>
    </w:rPr>
  </w:style>
  <w:style w:type="paragraph" w:styleId="BlockText">
    <w:name w:val="Block Text"/>
    <w:basedOn w:val="Normal"/>
    <w:pPr>
      <w:ind w:left="720" w:right="720"/>
      <w:jc w:val="both"/>
    </w:pPr>
    <w:rPr>
      <w:rFonts w:ascii="Bookman Old Style" w:hAnsi="Bookman Old Style"/>
      <w:sz w:val="26"/>
    </w:rPr>
  </w:style>
  <w:style w:type="paragraph" w:customStyle="1" w:styleId="DocID">
    <w:name w:val="DocID"/>
    <w:basedOn w:val="Footer"/>
    <w:next w:val="Footer"/>
    <w:link w:val="DocIDChar"/>
    <w:rsid w:val="001C523A"/>
    <w:pPr>
      <w:tabs>
        <w:tab w:val="clear" w:pos="4320"/>
        <w:tab w:val="clear" w:pos="8640"/>
      </w:tabs>
    </w:pPr>
    <w:rPr>
      <w:sz w:val="16"/>
    </w:rPr>
  </w:style>
  <w:style w:type="character" w:customStyle="1" w:styleId="BodyTextIndent2Char">
    <w:name w:val="Body Text Indent 2 Char"/>
    <w:link w:val="BodyTextIndent2"/>
    <w:rsid w:val="001C523A"/>
    <w:rPr>
      <w:rFonts w:ascii="Bookman Old Style" w:hAnsi="Bookman Old Style"/>
      <w:b/>
      <w:sz w:val="26"/>
    </w:rPr>
  </w:style>
  <w:style w:type="character" w:customStyle="1" w:styleId="DocIDChar">
    <w:name w:val="DocID Char"/>
    <w:link w:val="DocID"/>
    <w:rsid w:val="001C523A"/>
    <w:rPr>
      <w:rFonts w:ascii="Bookman Old Style" w:hAnsi="Bookman Old Style"/>
      <w:b w:val="0"/>
      <w:sz w:val="16"/>
      <w:lang w:val="en-US" w:eastAsia="en-US"/>
    </w:rPr>
  </w:style>
  <w:style w:type="paragraph" w:styleId="BalloonText">
    <w:name w:val="Balloon Text"/>
    <w:basedOn w:val="Normal"/>
    <w:link w:val="BalloonTextChar"/>
    <w:uiPriority w:val="99"/>
    <w:semiHidden/>
    <w:unhideWhenUsed/>
    <w:rsid w:val="007B4260"/>
    <w:rPr>
      <w:rFonts w:ascii="Segoe UI" w:hAnsi="Segoe UI" w:cs="Segoe UI"/>
      <w:sz w:val="18"/>
      <w:szCs w:val="18"/>
    </w:rPr>
  </w:style>
  <w:style w:type="character" w:customStyle="1" w:styleId="BalloonTextChar">
    <w:name w:val="Balloon Text Char"/>
    <w:link w:val="BalloonText"/>
    <w:uiPriority w:val="99"/>
    <w:semiHidden/>
    <w:rsid w:val="007B4260"/>
    <w:rPr>
      <w:rFonts w:ascii="Segoe UI" w:hAnsi="Segoe UI" w:cs="Segoe UI"/>
      <w:sz w:val="18"/>
      <w:szCs w:val="18"/>
    </w:rPr>
  </w:style>
  <w:style w:type="paragraph" w:styleId="ListParagraph">
    <w:name w:val="List Paragraph"/>
    <w:basedOn w:val="Normal"/>
    <w:uiPriority w:val="34"/>
    <w:qFormat/>
    <w:rsid w:val="004C2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F32BE-C9D3-4517-8687-F2050FE5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5</cp:revision>
  <dcterms:created xsi:type="dcterms:W3CDTF">2022-05-18T21:23:00Z</dcterms:created>
  <dcterms:modified xsi:type="dcterms:W3CDTF">2022-07-27T18:47:00Z</dcterms:modified>
</cp:coreProperties>
</file>