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7BB" w:rsidRPr="00251270" w:rsidRDefault="00396F54" w:rsidP="00251270">
      <w:pPr>
        <w:pStyle w:val="Title"/>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1440" w:hanging="1440"/>
        <w:jc w:val="both"/>
        <w:rPr>
          <w:rFonts w:ascii="Times New Roman" w:hAnsi="Times New Roman"/>
          <w:b/>
          <w:sz w:val="28"/>
          <w:szCs w:val="28"/>
        </w:rPr>
      </w:pPr>
      <w:r w:rsidRPr="00251270">
        <w:rPr>
          <w:rFonts w:ascii="Times New Roman" w:hAnsi="Times New Roman"/>
          <w:b/>
          <w:sz w:val="28"/>
          <w:szCs w:val="28"/>
        </w:rPr>
        <w:t>24.09F</w:t>
      </w:r>
      <w:r w:rsidRPr="00251270">
        <w:rPr>
          <w:rFonts w:ascii="Times New Roman" w:hAnsi="Times New Roman"/>
          <w:b/>
          <w:sz w:val="28"/>
          <w:szCs w:val="28"/>
        </w:rPr>
        <w:tab/>
        <w:t>BUILDER’S DAMAGES FOR OWNER’S BREACH OF</w:t>
      </w:r>
      <w:r w:rsidRPr="00251270">
        <w:rPr>
          <w:rFonts w:ascii="Times New Roman" w:hAnsi="Times New Roman"/>
          <w:sz w:val="28"/>
          <w:szCs w:val="28"/>
        </w:rPr>
        <w:t xml:space="preserve"> </w:t>
      </w:r>
      <w:r w:rsidRPr="00251270">
        <w:rPr>
          <w:rFonts w:ascii="Times New Roman" w:hAnsi="Times New Roman"/>
          <w:b/>
          <w:sz w:val="28"/>
          <w:szCs w:val="28"/>
        </w:rPr>
        <w:t>CONSTRUCTION CONTRACT</w:t>
      </w:r>
      <w:r w:rsidRPr="00251270">
        <w:rPr>
          <w:rFonts w:ascii="Times New Roman" w:hAnsi="Times New Roman"/>
          <w:sz w:val="28"/>
          <w:szCs w:val="28"/>
        </w:rPr>
        <w:tab/>
      </w:r>
      <w:r w:rsidRPr="00251270">
        <w:rPr>
          <w:rFonts w:ascii="Times New Roman" w:hAnsi="Times New Roman"/>
          <w:sz w:val="28"/>
          <w:szCs w:val="28"/>
        </w:rPr>
        <w:tab/>
      </w:r>
    </w:p>
    <w:p w:rsidR="004F27BB" w:rsidRPr="00251270" w:rsidRDefault="004F27BB">
      <w:pPr>
        <w:spacing w:line="360" w:lineRule="auto"/>
        <w:jc w:val="both"/>
        <w:rPr>
          <w:sz w:val="28"/>
          <w:szCs w:val="28"/>
        </w:rPr>
      </w:pPr>
    </w:p>
    <w:p w:rsidR="004F27BB" w:rsidRDefault="00396F54" w:rsidP="001F131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r w:rsidRPr="00251270">
        <w:rPr>
          <w:rFonts w:ascii="Times New Roman" w:hAnsi="Times New Roman"/>
          <w:sz w:val="28"/>
          <w:szCs w:val="28"/>
        </w:rPr>
        <w:t xml:space="preserve">If you find in favor of the plaintiff, you must then decide how much money, if any, would fairly compensate the plaintiff for the defendant's failure to keep </w:t>
      </w:r>
      <w:r w:rsidR="003024F7">
        <w:rPr>
          <w:rFonts w:ascii="Times New Roman" w:hAnsi="Times New Roman"/>
          <w:sz w:val="28"/>
          <w:szCs w:val="28"/>
        </w:rPr>
        <w:t>[</w:t>
      </w:r>
      <w:r w:rsidR="003024F7" w:rsidRPr="00184D3E">
        <w:rPr>
          <w:rFonts w:ascii="Times New Roman" w:hAnsi="Times New Roman"/>
          <w:sz w:val="28"/>
          <w:szCs w:val="28"/>
        </w:rPr>
        <w:t>hi</w:t>
      </w:r>
      <w:r w:rsidR="003024F7">
        <w:rPr>
          <w:rFonts w:ascii="Times New Roman" w:hAnsi="Times New Roman"/>
          <w:sz w:val="28"/>
          <w:szCs w:val="28"/>
        </w:rPr>
        <w:t xml:space="preserve">s </w:t>
      </w:r>
      <w:proofErr w:type="spellStart"/>
      <w:r w:rsidR="003024F7" w:rsidRPr="00184D3E">
        <w:rPr>
          <w:rFonts w:ascii="Times New Roman" w:hAnsi="Times New Roman"/>
          <w:sz w:val="28"/>
          <w:szCs w:val="28"/>
        </w:rPr>
        <w:t>her</w:t>
      </w:r>
      <w:proofErr w:type="spellEnd"/>
      <w:r w:rsidR="003024F7" w:rsidRPr="00184D3E">
        <w:rPr>
          <w:rFonts w:ascii="Times New Roman" w:hAnsi="Times New Roman"/>
          <w:sz w:val="28"/>
          <w:szCs w:val="28"/>
        </w:rPr>
        <w:t xml:space="preserve"> its</w:t>
      </w:r>
      <w:r w:rsidR="003024F7">
        <w:rPr>
          <w:rFonts w:ascii="Times New Roman" w:hAnsi="Times New Roman"/>
          <w:sz w:val="28"/>
          <w:szCs w:val="28"/>
        </w:rPr>
        <w:t>]</w:t>
      </w:r>
      <w:r w:rsidRPr="00251270">
        <w:rPr>
          <w:rFonts w:ascii="Times New Roman" w:hAnsi="Times New Roman"/>
          <w:sz w:val="28"/>
          <w:szCs w:val="28"/>
        </w:rPr>
        <w:t xml:space="preserve"> promise.  </w:t>
      </w:r>
    </w:p>
    <w:p w:rsidR="001F1313" w:rsidRPr="001F1313" w:rsidRDefault="001F1313" w:rsidP="001F131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p>
    <w:p w:rsidR="004F27BB" w:rsidRPr="00251270" w:rsidRDefault="00396F54">
      <w:pPr>
        <w:spacing w:line="360" w:lineRule="auto"/>
        <w:jc w:val="center"/>
        <w:rPr>
          <w:sz w:val="28"/>
          <w:szCs w:val="28"/>
        </w:rPr>
      </w:pPr>
      <w:r w:rsidRPr="00251270">
        <w:rPr>
          <w:sz w:val="28"/>
          <w:szCs w:val="28"/>
        </w:rPr>
        <w:t>Alternative A</w:t>
      </w:r>
    </w:p>
    <w:p w:rsidR="004F27BB" w:rsidRPr="00251270" w:rsidRDefault="004F27BB">
      <w:pPr>
        <w:spacing w:line="360" w:lineRule="auto"/>
        <w:jc w:val="center"/>
        <w:rPr>
          <w:sz w:val="28"/>
          <w:szCs w:val="28"/>
        </w:rPr>
      </w:pPr>
    </w:p>
    <w:p w:rsidR="004F27BB" w:rsidRPr="00251270" w:rsidRDefault="00396F54">
      <w:pPr>
        <w:spacing w:line="360" w:lineRule="auto"/>
        <w:jc w:val="both"/>
        <w:rPr>
          <w:sz w:val="28"/>
          <w:szCs w:val="28"/>
        </w:rPr>
      </w:pPr>
      <w:r w:rsidRPr="00251270">
        <w:rPr>
          <w:sz w:val="28"/>
          <w:szCs w:val="28"/>
        </w:rPr>
        <w:t>To do this, you must first determine the amount of money that the defendant promised to pay the plaintiff.  From this amount you must subtract the amount, if any, that the defendant has already paid.  The amount that remains is the amount you should award as damages.</w:t>
      </w:r>
    </w:p>
    <w:p w:rsidR="004F27BB" w:rsidRPr="00251270" w:rsidRDefault="004F27BB">
      <w:pPr>
        <w:spacing w:line="360" w:lineRule="auto"/>
        <w:jc w:val="both"/>
        <w:rPr>
          <w:sz w:val="28"/>
          <w:szCs w:val="28"/>
        </w:rPr>
      </w:pPr>
    </w:p>
    <w:p w:rsidR="004F27BB" w:rsidRPr="00251270" w:rsidRDefault="00396F54">
      <w:pPr>
        <w:spacing w:line="360" w:lineRule="auto"/>
        <w:jc w:val="center"/>
        <w:rPr>
          <w:sz w:val="28"/>
          <w:szCs w:val="28"/>
        </w:rPr>
      </w:pPr>
      <w:r w:rsidRPr="00251270">
        <w:rPr>
          <w:sz w:val="28"/>
          <w:szCs w:val="28"/>
        </w:rPr>
        <w:t>Alternative B</w:t>
      </w:r>
    </w:p>
    <w:p w:rsidR="004F27BB" w:rsidRPr="00251270" w:rsidRDefault="004F27BB">
      <w:pPr>
        <w:spacing w:line="360" w:lineRule="auto"/>
        <w:jc w:val="center"/>
        <w:rPr>
          <w:sz w:val="28"/>
          <w:szCs w:val="28"/>
        </w:rPr>
      </w:pPr>
    </w:p>
    <w:p w:rsidR="004F27BB" w:rsidRPr="00251270" w:rsidRDefault="00396F54">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r w:rsidRPr="00251270">
        <w:rPr>
          <w:rFonts w:ascii="Times New Roman" w:hAnsi="Times New Roman"/>
          <w:sz w:val="28"/>
          <w:szCs w:val="28"/>
        </w:rPr>
        <w:t>To do this, you must first determine the amount of money that the defendant promised to pay the plaintiff.  From this amount you must subtract</w:t>
      </w:r>
      <w:proofErr w:type="gramStart"/>
      <w:r w:rsidR="003024F7">
        <w:rPr>
          <w:rFonts w:ascii="Times New Roman" w:hAnsi="Times New Roman"/>
          <w:sz w:val="28"/>
          <w:szCs w:val="28"/>
        </w:rPr>
        <w:t xml:space="preserve">: </w:t>
      </w:r>
      <w:r w:rsidRPr="00251270">
        <w:rPr>
          <w:rFonts w:ascii="Times New Roman" w:hAnsi="Times New Roman"/>
          <w:sz w:val="28"/>
          <w:szCs w:val="28"/>
        </w:rPr>
        <w:t xml:space="preserve"> (</w:t>
      </w:r>
      <w:proofErr w:type="gramEnd"/>
      <w:r w:rsidRPr="00251270">
        <w:rPr>
          <w:rFonts w:ascii="Times New Roman" w:hAnsi="Times New Roman"/>
          <w:sz w:val="28"/>
          <w:szCs w:val="28"/>
        </w:rPr>
        <w:t>1) the amount, if any, that the defendant has already paid the plaintiff; and (2) the reasonable cost of completing the [insert subject matter of the contract] as promised.  The amount that remains after subtracting (1) and (2) is the amount you should award as damages.</w:t>
      </w:r>
    </w:p>
    <w:p w:rsidR="004F27BB" w:rsidRPr="00251270" w:rsidRDefault="004F27B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p>
    <w:p w:rsidR="004F27BB" w:rsidRPr="003024F7" w:rsidRDefault="00396F54">
      <w:pPr>
        <w:tabs>
          <w:tab w:val="right" w:pos="9584"/>
        </w:tabs>
        <w:jc w:val="center"/>
        <w:rPr>
          <w:b/>
          <w:sz w:val="28"/>
          <w:szCs w:val="28"/>
          <w:u w:val="single"/>
        </w:rPr>
      </w:pPr>
      <w:r w:rsidRPr="003024F7">
        <w:rPr>
          <w:b/>
          <w:sz w:val="28"/>
          <w:szCs w:val="28"/>
          <w:u w:val="single"/>
        </w:rPr>
        <w:t>Use Note</w:t>
      </w:r>
    </w:p>
    <w:p w:rsidR="004F27BB" w:rsidRPr="00251270" w:rsidRDefault="004F27BB">
      <w:pPr>
        <w:rPr>
          <w:sz w:val="28"/>
          <w:szCs w:val="28"/>
        </w:rPr>
      </w:pPr>
      <w:bookmarkStart w:id="0" w:name="_GoBack"/>
      <w:bookmarkEnd w:id="0"/>
    </w:p>
    <w:p w:rsidR="004F27BB" w:rsidRPr="00251270" w:rsidRDefault="00396F54">
      <w:pPr>
        <w:jc w:val="both"/>
        <w:rPr>
          <w:sz w:val="28"/>
          <w:szCs w:val="28"/>
        </w:rPr>
      </w:pPr>
      <w:r w:rsidRPr="00251270">
        <w:rPr>
          <w:sz w:val="28"/>
          <w:szCs w:val="28"/>
        </w:rPr>
        <w:t xml:space="preserve">These instructions cover the circumstance where the owner/defendant fails to pay despite the builder/plaintiff's performance.  Alternative A should be used if the plaintiff has completely performed in compliance with the contract.  Alternative B should be used if the plaintiff claims that the owner's breach is "material" and "total" and relieves the plaintiff of its duty of performance.  </w:t>
      </w:r>
      <w:r w:rsidRPr="003024F7">
        <w:rPr>
          <w:i/>
          <w:sz w:val="28"/>
          <w:szCs w:val="28"/>
        </w:rPr>
        <w:t xml:space="preserve">See, e.g., </w:t>
      </w:r>
      <w:proofErr w:type="spellStart"/>
      <w:r w:rsidRPr="003024F7">
        <w:rPr>
          <w:i/>
          <w:sz w:val="28"/>
          <w:szCs w:val="28"/>
        </w:rPr>
        <w:t>Conam</w:t>
      </w:r>
      <w:proofErr w:type="spellEnd"/>
      <w:r w:rsidRPr="003024F7">
        <w:rPr>
          <w:i/>
          <w:sz w:val="28"/>
          <w:szCs w:val="28"/>
        </w:rPr>
        <w:t xml:space="preserve"> Alaska v. Bell Lavalin Inc</w:t>
      </w:r>
      <w:r w:rsidRPr="00251270">
        <w:rPr>
          <w:sz w:val="28"/>
          <w:szCs w:val="28"/>
        </w:rPr>
        <w:t>., 842 P.2d 148, 158 (Alaska 1992).</w:t>
      </w:r>
    </w:p>
    <w:p w:rsidR="004F27BB" w:rsidRPr="00251270" w:rsidRDefault="004F27BB">
      <w:pPr>
        <w:rPr>
          <w:sz w:val="28"/>
          <w:szCs w:val="28"/>
        </w:rPr>
      </w:pPr>
    </w:p>
    <w:p w:rsidR="004F27BB" w:rsidRPr="003024F7" w:rsidRDefault="00396F54">
      <w:pPr>
        <w:tabs>
          <w:tab w:val="right" w:pos="9584"/>
        </w:tabs>
        <w:jc w:val="center"/>
        <w:rPr>
          <w:b/>
          <w:sz w:val="28"/>
          <w:szCs w:val="28"/>
          <w:u w:val="single"/>
        </w:rPr>
      </w:pPr>
      <w:r w:rsidRPr="003024F7">
        <w:rPr>
          <w:b/>
          <w:sz w:val="28"/>
          <w:szCs w:val="28"/>
          <w:u w:val="single"/>
        </w:rPr>
        <w:t>Comment</w:t>
      </w:r>
    </w:p>
    <w:p w:rsidR="004F27BB" w:rsidRPr="00251270" w:rsidRDefault="004F27BB">
      <w:pPr>
        <w:rPr>
          <w:sz w:val="28"/>
          <w:szCs w:val="28"/>
        </w:rPr>
      </w:pPr>
    </w:p>
    <w:p w:rsidR="004F27BB" w:rsidRPr="00251270" w:rsidRDefault="00396F54">
      <w:pPr>
        <w:jc w:val="both"/>
        <w:rPr>
          <w:sz w:val="28"/>
          <w:szCs w:val="28"/>
        </w:rPr>
      </w:pPr>
      <w:r w:rsidRPr="00251270">
        <w:rPr>
          <w:sz w:val="28"/>
          <w:szCs w:val="28"/>
        </w:rPr>
        <w:t xml:space="preserve">A contractor need not prove damages with mathematical precision; it may only recover those damages which it proves with reasonable certainty.  </w:t>
      </w:r>
      <w:r w:rsidRPr="003024F7">
        <w:rPr>
          <w:i/>
          <w:sz w:val="28"/>
          <w:szCs w:val="28"/>
        </w:rPr>
        <w:t>State v. Northwestern Constr</w:t>
      </w:r>
      <w:r w:rsidRPr="00251270">
        <w:rPr>
          <w:sz w:val="28"/>
          <w:szCs w:val="28"/>
        </w:rPr>
        <w:t xml:space="preserve">., 741 P.2d 235, 237 (Alaska 1987).  Damages for the increased cost of performance are limited to those proximately caused by the breach of contract.  </w:t>
      </w:r>
      <w:r w:rsidRPr="003024F7">
        <w:rPr>
          <w:i/>
          <w:sz w:val="28"/>
          <w:szCs w:val="28"/>
        </w:rPr>
        <w:t xml:space="preserve">Fairbanks N. Star Borough v. </w:t>
      </w:r>
      <w:proofErr w:type="spellStart"/>
      <w:r w:rsidRPr="003024F7">
        <w:rPr>
          <w:i/>
          <w:sz w:val="28"/>
          <w:szCs w:val="28"/>
        </w:rPr>
        <w:t>Kandik</w:t>
      </w:r>
      <w:proofErr w:type="spellEnd"/>
      <w:r w:rsidRPr="003024F7">
        <w:rPr>
          <w:i/>
          <w:sz w:val="28"/>
          <w:szCs w:val="28"/>
        </w:rPr>
        <w:t xml:space="preserve"> Constr</w:t>
      </w:r>
      <w:r w:rsidRPr="00251270">
        <w:rPr>
          <w:sz w:val="28"/>
          <w:szCs w:val="28"/>
        </w:rPr>
        <w:t>.</w:t>
      </w:r>
      <w:r w:rsidR="00177DE5">
        <w:rPr>
          <w:sz w:val="28"/>
          <w:szCs w:val="28"/>
        </w:rPr>
        <w:t xml:space="preserve"> </w:t>
      </w:r>
      <w:r w:rsidR="00177DE5" w:rsidRPr="00177DE5">
        <w:rPr>
          <w:i/>
          <w:sz w:val="28"/>
          <w:szCs w:val="28"/>
        </w:rPr>
        <w:t>Inc</w:t>
      </w:r>
      <w:r w:rsidR="00177DE5">
        <w:rPr>
          <w:sz w:val="28"/>
          <w:szCs w:val="28"/>
        </w:rPr>
        <w:t>.</w:t>
      </w:r>
      <w:r w:rsidRPr="00251270">
        <w:rPr>
          <w:sz w:val="28"/>
          <w:szCs w:val="28"/>
        </w:rPr>
        <w:t>, 795 P.2d 793, 799 (Alaska 1990) (rejecting total cost approach).</w:t>
      </w:r>
    </w:p>
    <w:p w:rsidR="004F27BB" w:rsidRPr="00251270" w:rsidRDefault="004F27BB">
      <w:pPr>
        <w:rPr>
          <w:sz w:val="28"/>
          <w:szCs w:val="28"/>
        </w:rPr>
      </w:pPr>
    </w:p>
    <w:p w:rsidR="004F27BB" w:rsidRPr="00251270" w:rsidRDefault="00396F54">
      <w:pPr>
        <w:jc w:val="both"/>
        <w:rPr>
          <w:sz w:val="28"/>
          <w:szCs w:val="28"/>
        </w:rPr>
      </w:pPr>
      <w:r w:rsidRPr="00251270">
        <w:rPr>
          <w:sz w:val="28"/>
          <w:szCs w:val="28"/>
        </w:rPr>
        <w:t>For work</w:t>
      </w:r>
      <w:r w:rsidRPr="00251270">
        <w:rPr>
          <w:b/>
          <w:sz w:val="28"/>
          <w:szCs w:val="28"/>
        </w:rPr>
        <w:t xml:space="preserve"> </w:t>
      </w:r>
      <w:r w:rsidRPr="00251270">
        <w:rPr>
          <w:sz w:val="28"/>
          <w:szCs w:val="28"/>
        </w:rPr>
        <w:t xml:space="preserve">within the scope of the original contract, the contractor's remedy is limited to the contract price.  </w:t>
      </w:r>
      <w:proofErr w:type="spellStart"/>
      <w:r w:rsidRPr="003024F7">
        <w:rPr>
          <w:i/>
          <w:sz w:val="28"/>
          <w:szCs w:val="28"/>
        </w:rPr>
        <w:t>Kandik</w:t>
      </w:r>
      <w:proofErr w:type="spellEnd"/>
      <w:r w:rsidRPr="003024F7">
        <w:rPr>
          <w:i/>
          <w:sz w:val="28"/>
          <w:szCs w:val="28"/>
        </w:rPr>
        <w:t xml:space="preserve"> Constr.</w:t>
      </w:r>
      <w:r w:rsidRPr="00251270">
        <w:rPr>
          <w:sz w:val="28"/>
          <w:szCs w:val="28"/>
        </w:rPr>
        <w:t>, 795 P.2d 799</w:t>
      </w:r>
      <w:r w:rsidRPr="00251270">
        <w:rPr>
          <w:sz w:val="28"/>
          <w:szCs w:val="28"/>
        </w:rPr>
        <w:noBreakHyphen/>
        <w:t xml:space="preserve">800.  Claims for quantum </w:t>
      </w:r>
      <w:proofErr w:type="spellStart"/>
      <w:r w:rsidRPr="00251270">
        <w:rPr>
          <w:sz w:val="28"/>
          <w:szCs w:val="28"/>
        </w:rPr>
        <w:t>meruit</w:t>
      </w:r>
      <w:proofErr w:type="spellEnd"/>
      <w:r w:rsidRPr="00251270">
        <w:rPr>
          <w:sz w:val="28"/>
          <w:szCs w:val="28"/>
        </w:rPr>
        <w:t xml:space="preserve"> (which are not covered by this instruction) are allowable only for work performed beyond that contemplate</w:t>
      </w:r>
      <w:r w:rsidR="003024F7">
        <w:rPr>
          <w:sz w:val="28"/>
          <w:szCs w:val="28"/>
        </w:rPr>
        <w:t>d</w:t>
      </w:r>
      <w:r w:rsidRPr="00251270">
        <w:rPr>
          <w:sz w:val="28"/>
          <w:szCs w:val="28"/>
        </w:rPr>
        <w:t xml:space="preserve"> by the original contract, and that was not discovered nor reasonably anticipated by the contractor before entering into the contract.  </w:t>
      </w:r>
      <w:r w:rsidRPr="003024F7">
        <w:rPr>
          <w:i/>
          <w:sz w:val="28"/>
          <w:szCs w:val="28"/>
        </w:rPr>
        <w:t>Id.</w:t>
      </w:r>
      <w:r w:rsidRPr="00251270">
        <w:rPr>
          <w:sz w:val="28"/>
          <w:szCs w:val="28"/>
        </w:rPr>
        <w:t xml:space="preserve">; </w:t>
      </w:r>
      <w:r w:rsidRPr="003024F7">
        <w:rPr>
          <w:i/>
          <w:sz w:val="28"/>
          <w:szCs w:val="28"/>
        </w:rPr>
        <w:t>see also Southeast Alaska Constr. v. State</w:t>
      </w:r>
      <w:r w:rsidRPr="00251270">
        <w:rPr>
          <w:sz w:val="28"/>
          <w:szCs w:val="28"/>
        </w:rPr>
        <w:t>, 791 P.2d 339 (Alaska 1990) (affirming award on summary judgment for damages calculated on a total cost basis).</w:t>
      </w:r>
    </w:p>
    <w:p w:rsidR="004F27BB" w:rsidRPr="00251270" w:rsidRDefault="004F27BB">
      <w:pPr>
        <w:rPr>
          <w:sz w:val="28"/>
          <w:szCs w:val="28"/>
        </w:rPr>
        <w:sectPr w:rsidR="004F27BB" w:rsidRPr="00251270">
          <w:footerReference w:type="default" r:id="rId6"/>
          <w:pgSz w:w="12240" w:h="15840" w:code="1"/>
          <w:pgMar w:top="1440" w:right="1440" w:bottom="1440" w:left="1440" w:header="720" w:footer="720" w:gutter="0"/>
          <w:cols w:space="720"/>
        </w:sectPr>
      </w:pPr>
    </w:p>
    <w:p w:rsidR="004F27BB" w:rsidRPr="00251270" w:rsidRDefault="004F27B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p>
    <w:p w:rsidR="004F27BB" w:rsidRDefault="004F27BB">
      <w:pPr>
        <w:spacing w:line="360" w:lineRule="auto"/>
        <w:jc w:val="center"/>
        <w:rPr>
          <w:rFonts w:ascii="Bookman Old Style" w:hAnsi="Bookman Old Style"/>
          <w:sz w:val="26"/>
        </w:rPr>
      </w:pPr>
    </w:p>
    <w:sectPr w:rsidR="004F27BB">
      <w:headerReference w:type="default" r:id="rId7"/>
      <w:footerReference w:type="default" r:id="rId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7BB" w:rsidRDefault="00396F54">
      <w:r>
        <w:separator/>
      </w:r>
    </w:p>
  </w:endnote>
  <w:endnote w:type="continuationSeparator" w:id="0">
    <w:p w:rsidR="004F27BB" w:rsidRDefault="0039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7BB" w:rsidRPr="003024F7" w:rsidRDefault="00A34F7A" w:rsidP="00251270">
    <w:pPr>
      <w:pStyle w:val="Footer"/>
      <w:tabs>
        <w:tab w:val="clear" w:pos="4320"/>
        <w:tab w:val="clear" w:pos="8640"/>
        <w:tab w:val="center" w:pos="4680"/>
        <w:tab w:val="right" w:pos="9360"/>
      </w:tabs>
    </w:pPr>
    <w:r>
      <w:t xml:space="preserve">Revised </w:t>
    </w:r>
    <w:r w:rsidR="004A2FD9">
      <w:t>1994</w:t>
    </w:r>
    <w:r w:rsidR="00251270" w:rsidRPr="003024F7">
      <w:tab/>
      <w:t>24.09F</w:t>
    </w:r>
    <w:r w:rsidR="00251270" w:rsidRPr="003024F7">
      <w:tab/>
    </w:r>
    <w:r w:rsidR="00251270" w:rsidRPr="003024F7">
      <w:fldChar w:fldCharType="begin"/>
    </w:r>
    <w:r w:rsidR="00251270" w:rsidRPr="003024F7">
      <w:instrText xml:space="preserve"> PAGE   \* MERGEFORMAT </w:instrText>
    </w:r>
    <w:r w:rsidR="00251270" w:rsidRPr="003024F7">
      <w:fldChar w:fldCharType="separate"/>
    </w:r>
    <w:r w:rsidR="00251270" w:rsidRPr="003024F7">
      <w:rPr>
        <w:noProof/>
      </w:rPr>
      <w:t>1</w:t>
    </w:r>
    <w:r w:rsidR="00251270" w:rsidRPr="003024F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7BB" w:rsidRDefault="00396F54">
    <w:pPr>
      <w:pStyle w:val="Footer"/>
      <w:tabs>
        <w:tab w:val="clear" w:pos="8640"/>
        <w:tab w:val="right" w:pos="9360"/>
      </w:tabs>
      <w:rPr>
        <w:rFonts w:ascii="Bookman Old Style" w:hAnsi="Bookman Old Style"/>
        <w:sz w:val="26"/>
      </w:rPr>
    </w:pPr>
    <w:r>
      <w:rPr>
        <w:rFonts w:ascii="Bookman Old Style" w:hAnsi="Bookman Old Style"/>
        <w:sz w:val="26"/>
      </w:rPr>
      <w:t>1994</w:t>
    </w:r>
    <w:r>
      <w:rPr>
        <w:rFonts w:ascii="Bookman Old Style" w:hAnsi="Bookman Old Style"/>
        <w:sz w:val="26"/>
      </w:rPr>
      <w:tab/>
    </w:r>
    <w:r>
      <w:rPr>
        <w:rFonts w:ascii="Bookman Old Style" w:hAnsi="Bookman Old Style"/>
        <w:sz w:val="26"/>
      </w:rPr>
      <w:tab/>
      <w:t xml:space="preserve">24.09F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7BB" w:rsidRDefault="00396F54">
      <w:r>
        <w:separator/>
      </w:r>
    </w:p>
  </w:footnote>
  <w:footnote w:type="continuationSeparator" w:id="0">
    <w:p w:rsidR="004F27BB" w:rsidRDefault="0039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7BB" w:rsidRDefault="00396F54">
    <w:pPr>
      <w:pStyle w:val="BodyText2"/>
    </w:pPr>
    <w:r>
      <w:t>24.09F</w:t>
    </w:r>
    <w:r>
      <w:tab/>
      <w:t>BUILDER'S DAMAGES FOR OWNER'S BREACH OF CONSTRUCTION CONTRACT</w:t>
    </w:r>
  </w:p>
  <w:p w:rsidR="004F27BB" w:rsidRDefault="004F2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54"/>
    <w:rsid w:val="00177DE5"/>
    <w:rsid w:val="001F1313"/>
    <w:rsid w:val="00251270"/>
    <w:rsid w:val="003024F7"/>
    <w:rsid w:val="00396F54"/>
    <w:rsid w:val="004A2FD9"/>
    <w:rsid w:val="004F27BB"/>
    <w:rsid w:val="00A3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EEFB9"/>
  <w15:docId w15:val="{567183D9-958B-4BAE-8B32-71892BD7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pPr>
    <w:rPr>
      <w:rFonts w:ascii="Bookman Old Style" w:hAnsi="Bookman Old Style"/>
      <w:sz w:val="26"/>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pPr>
    <w:rPr>
      <w:rFonts w:ascii="Bookman Old Style" w:hAnsi="Bookman Old Style"/>
      <w:vanish/>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24</vt:lpstr>
    </vt:vector>
  </TitlesOfParts>
  <Company>Alaska Court System</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korzechowski</dc:creator>
  <cp:lastModifiedBy>Hanley Robinson</cp:lastModifiedBy>
  <cp:revision>6</cp:revision>
  <cp:lastPrinted>2000-09-15T17:34:00Z</cp:lastPrinted>
  <dcterms:created xsi:type="dcterms:W3CDTF">2022-02-28T23:33:00Z</dcterms:created>
  <dcterms:modified xsi:type="dcterms:W3CDTF">2022-11-07T23:20:00Z</dcterms:modified>
</cp:coreProperties>
</file>