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EB3ED4" w14:textId="5338013A" w:rsidR="0001395A" w:rsidRPr="00E20B1D" w:rsidRDefault="00412855">
      <w:pPr>
        <w:pStyle w:val="BodyText2"/>
        <w:rPr>
          <w:rFonts w:ascii="Times New Roman" w:hAnsi="Times New Roman"/>
          <w:sz w:val="28"/>
          <w:szCs w:val="28"/>
        </w:rPr>
      </w:pPr>
      <w:r w:rsidRPr="00E20B1D">
        <w:rPr>
          <w:rFonts w:ascii="Times New Roman" w:hAnsi="Times New Roman"/>
          <w:sz w:val="28"/>
          <w:szCs w:val="28"/>
        </w:rPr>
        <w:t>24.09G</w:t>
      </w:r>
      <w:r w:rsidRPr="00E20B1D">
        <w:rPr>
          <w:rFonts w:ascii="Times New Roman" w:hAnsi="Times New Roman"/>
          <w:sz w:val="28"/>
          <w:szCs w:val="28"/>
        </w:rPr>
        <w:tab/>
        <w:t>DAMAGES FOR BREACH OF COVENANT NOT TO COMPETE</w:t>
      </w:r>
    </w:p>
    <w:p w14:paraId="11EE4D97" w14:textId="77777777" w:rsidR="0001395A" w:rsidRPr="00E20B1D" w:rsidRDefault="0001395A">
      <w:pPr>
        <w:tabs>
          <w:tab w:val="left" w:pos="1440"/>
        </w:tabs>
        <w:spacing w:line="360" w:lineRule="auto"/>
        <w:jc w:val="both"/>
        <w:rPr>
          <w:sz w:val="28"/>
          <w:szCs w:val="28"/>
        </w:rPr>
      </w:pPr>
    </w:p>
    <w:p w14:paraId="2DA4ED2B" w14:textId="5F043FA1" w:rsidR="0001395A" w:rsidRPr="00E20B1D" w:rsidRDefault="002E5C70">
      <w:pPr>
        <w:tabs>
          <w:tab w:val="left" w:pos="1440"/>
        </w:tabs>
        <w:spacing w:line="360" w:lineRule="auto"/>
        <w:jc w:val="both"/>
        <w:rPr>
          <w:sz w:val="28"/>
          <w:szCs w:val="28"/>
        </w:rPr>
      </w:pPr>
      <w:r w:rsidRPr="00E20B1D">
        <w:rPr>
          <w:sz w:val="28"/>
          <w:szCs w:val="28"/>
        </w:rPr>
        <w:t>[</w:t>
      </w:r>
      <w:r w:rsidR="00412855" w:rsidRPr="00E20B1D">
        <w:rPr>
          <w:sz w:val="28"/>
          <w:szCs w:val="28"/>
        </w:rPr>
        <w:t>Plaintiff</w:t>
      </w:r>
      <w:r w:rsidRPr="00E20B1D">
        <w:rPr>
          <w:sz w:val="28"/>
          <w:szCs w:val="28"/>
        </w:rPr>
        <w:t>]</w:t>
      </w:r>
      <w:r w:rsidR="00412855" w:rsidRPr="00E20B1D">
        <w:rPr>
          <w:sz w:val="28"/>
          <w:szCs w:val="28"/>
        </w:rPr>
        <w:t xml:space="preserve"> claims a loss caused by </w:t>
      </w:r>
      <w:r w:rsidRPr="00E20B1D">
        <w:rPr>
          <w:sz w:val="28"/>
          <w:szCs w:val="28"/>
        </w:rPr>
        <w:t>[</w:t>
      </w:r>
      <w:r w:rsidR="00412855" w:rsidRPr="00E20B1D">
        <w:rPr>
          <w:sz w:val="28"/>
          <w:szCs w:val="28"/>
        </w:rPr>
        <w:t>defendant's</w:t>
      </w:r>
      <w:r w:rsidRPr="00E20B1D">
        <w:rPr>
          <w:sz w:val="28"/>
          <w:szCs w:val="28"/>
        </w:rPr>
        <w:t>]</w:t>
      </w:r>
      <w:r w:rsidR="00412855" w:rsidRPr="00E20B1D">
        <w:rPr>
          <w:sz w:val="28"/>
          <w:szCs w:val="28"/>
        </w:rPr>
        <w:t xml:space="preserve"> </w:t>
      </w:r>
      <w:r w:rsidR="00EE0D25" w:rsidRPr="00E20B1D">
        <w:rPr>
          <w:sz w:val="28"/>
          <w:szCs w:val="28"/>
        </w:rPr>
        <w:t>breach of an agreement that [defendant] would not compete with [plaintiff]</w:t>
      </w:r>
      <w:r w:rsidR="00412855" w:rsidRPr="00E20B1D">
        <w:rPr>
          <w:sz w:val="28"/>
          <w:szCs w:val="28"/>
        </w:rPr>
        <w:t xml:space="preserve">.  If you find in favor of </w:t>
      </w:r>
      <w:r w:rsidRPr="00E20B1D">
        <w:rPr>
          <w:sz w:val="28"/>
          <w:szCs w:val="28"/>
        </w:rPr>
        <w:t>[</w:t>
      </w:r>
      <w:r w:rsidR="00412855" w:rsidRPr="00E20B1D">
        <w:rPr>
          <w:sz w:val="28"/>
          <w:szCs w:val="28"/>
        </w:rPr>
        <w:t>plaintiff</w:t>
      </w:r>
      <w:r w:rsidRPr="00E20B1D">
        <w:rPr>
          <w:sz w:val="28"/>
          <w:szCs w:val="28"/>
        </w:rPr>
        <w:t>]</w:t>
      </w:r>
      <w:r w:rsidR="00412855" w:rsidRPr="00E20B1D">
        <w:rPr>
          <w:sz w:val="28"/>
          <w:szCs w:val="28"/>
        </w:rPr>
        <w:t xml:space="preserve">, you may award </w:t>
      </w:r>
      <w:r w:rsidRPr="00E20B1D">
        <w:rPr>
          <w:sz w:val="28"/>
          <w:szCs w:val="28"/>
        </w:rPr>
        <w:t>[</w:t>
      </w:r>
      <w:r w:rsidR="00412855" w:rsidRPr="00E20B1D">
        <w:rPr>
          <w:sz w:val="28"/>
          <w:szCs w:val="28"/>
        </w:rPr>
        <w:t>plaintiff</w:t>
      </w:r>
      <w:r w:rsidRPr="00E20B1D">
        <w:rPr>
          <w:sz w:val="28"/>
          <w:szCs w:val="28"/>
        </w:rPr>
        <w:t>]</w:t>
      </w:r>
      <w:r w:rsidR="00412855" w:rsidRPr="00E20B1D">
        <w:rPr>
          <w:sz w:val="28"/>
          <w:szCs w:val="28"/>
        </w:rPr>
        <w:t xml:space="preserve"> the amount of profit that </w:t>
      </w:r>
      <w:r w:rsidRPr="00E20B1D">
        <w:rPr>
          <w:sz w:val="28"/>
          <w:szCs w:val="28"/>
        </w:rPr>
        <w:t>[</w:t>
      </w:r>
      <w:r w:rsidR="00412855" w:rsidRPr="00E20B1D">
        <w:rPr>
          <w:sz w:val="28"/>
          <w:szCs w:val="28"/>
        </w:rPr>
        <w:t>plaintiff</w:t>
      </w:r>
      <w:r w:rsidRPr="00E20B1D">
        <w:rPr>
          <w:sz w:val="28"/>
          <w:szCs w:val="28"/>
        </w:rPr>
        <w:t>]</w:t>
      </w:r>
      <w:r w:rsidR="00412855" w:rsidRPr="00E20B1D">
        <w:rPr>
          <w:sz w:val="28"/>
          <w:szCs w:val="28"/>
        </w:rPr>
        <w:t xml:space="preserve"> lost because </w:t>
      </w:r>
      <w:r w:rsidRPr="00E20B1D">
        <w:rPr>
          <w:sz w:val="28"/>
          <w:szCs w:val="28"/>
        </w:rPr>
        <w:t>[</w:t>
      </w:r>
      <w:r w:rsidR="00412855" w:rsidRPr="00E20B1D">
        <w:rPr>
          <w:sz w:val="28"/>
          <w:szCs w:val="28"/>
        </w:rPr>
        <w:t>defendant</w:t>
      </w:r>
      <w:r w:rsidRPr="00E20B1D">
        <w:rPr>
          <w:sz w:val="28"/>
          <w:szCs w:val="28"/>
        </w:rPr>
        <w:t>]</w:t>
      </w:r>
      <w:r w:rsidR="00412855" w:rsidRPr="00E20B1D">
        <w:rPr>
          <w:sz w:val="28"/>
          <w:szCs w:val="28"/>
        </w:rPr>
        <w:t xml:space="preserve"> </w:t>
      </w:r>
      <w:r w:rsidR="00EE0D25" w:rsidRPr="00E20B1D">
        <w:rPr>
          <w:sz w:val="28"/>
          <w:szCs w:val="28"/>
        </w:rPr>
        <w:t xml:space="preserve">breached [his </w:t>
      </w:r>
      <w:proofErr w:type="spellStart"/>
      <w:r w:rsidR="00EE0D25" w:rsidRPr="00E20B1D">
        <w:rPr>
          <w:sz w:val="28"/>
          <w:szCs w:val="28"/>
        </w:rPr>
        <w:t>her</w:t>
      </w:r>
      <w:proofErr w:type="spellEnd"/>
      <w:r w:rsidR="00EE0D25" w:rsidRPr="00E20B1D">
        <w:rPr>
          <w:sz w:val="28"/>
          <w:szCs w:val="28"/>
        </w:rPr>
        <w:t xml:space="preserve"> its] agreement </w:t>
      </w:r>
      <w:r w:rsidR="00412855" w:rsidRPr="00E20B1D">
        <w:rPr>
          <w:sz w:val="28"/>
          <w:szCs w:val="28"/>
        </w:rPr>
        <w:t xml:space="preserve">not to compete with </w:t>
      </w:r>
      <w:r w:rsidR="00B45D65" w:rsidRPr="00E20B1D">
        <w:rPr>
          <w:sz w:val="28"/>
          <w:szCs w:val="28"/>
        </w:rPr>
        <w:t>[</w:t>
      </w:r>
      <w:r w:rsidR="00412855" w:rsidRPr="00E20B1D">
        <w:rPr>
          <w:sz w:val="28"/>
          <w:szCs w:val="28"/>
        </w:rPr>
        <w:t>plaintiff</w:t>
      </w:r>
      <w:r w:rsidR="00B45D65" w:rsidRPr="00E20B1D">
        <w:rPr>
          <w:sz w:val="28"/>
          <w:szCs w:val="28"/>
        </w:rPr>
        <w:t>]</w:t>
      </w:r>
      <w:r w:rsidR="00412855" w:rsidRPr="00E20B1D">
        <w:rPr>
          <w:sz w:val="28"/>
          <w:szCs w:val="28"/>
        </w:rPr>
        <w:t>.</w:t>
      </w:r>
      <w:r w:rsidR="00130895" w:rsidRPr="00E20B1D">
        <w:rPr>
          <w:sz w:val="28"/>
          <w:szCs w:val="28"/>
        </w:rPr>
        <w:t xml:space="preserve">  In a moment, I will </w:t>
      </w:r>
      <w:r w:rsidR="00FF6554" w:rsidRPr="00E20B1D">
        <w:rPr>
          <w:sz w:val="28"/>
          <w:szCs w:val="28"/>
        </w:rPr>
        <w:t xml:space="preserve">instruct you </w:t>
      </w:r>
      <w:r w:rsidR="00130895" w:rsidRPr="00E20B1D">
        <w:rPr>
          <w:sz w:val="28"/>
          <w:szCs w:val="28"/>
        </w:rPr>
        <w:t xml:space="preserve">regarding </w:t>
      </w:r>
      <w:r w:rsidR="00052553" w:rsidRPr="00E20B1D">
        <w:rPr>
          <w:sz w:val="28"/>
          <w:szCs w:val="28"/>
        </w:rPr>
        <w:t xml:space="preserve">the law that governs </w:t>
      </w:r>
      <w:r w:rsidR="00130895" w:rsidRPr="00E20B1D">
        <w:rPr>
          <w:sz w:val="28"/>
          <w:szCs w:val="28"/>
        </w:rPr>
        <w:t>an award of damages.</w:t>
      </w:r>
    </w:p>
    <w:p w14:paraId="2B2B6775" w14:textId="77777777" w:rsidR="0001395A" w:rsidRPr="00E20B1D" w:rsidRDefault="0001395A">
      <w:pPr>
        <w:tabs>
          <w:tab w:val="left" w:pos="1440"/>
        </w:tabs>
        <w:spacing w:line="360" w:lineRule="auto"/>
        <w:jc w:val="both"/>
        <w:rPr>
          <w:sz w:val="28"/>
          <w:szCs w:val="28"/>
        </w:rPr>
      </w:pPr>
    </w:p>
    <w:p w14:paraId="3B2CCF5E" w14:textId="77777777" w:rsidR="0001395A" w:rsidRPr="00E20B1D" w:rsidRDefault="00412855">
      <w:pPr>
        <w:tabs>
          <w:tab w:val="right" w:pos="9550"/>
        </w:tabs>
        <w:jc w:val="center"/>
        <w:rPr>
          <w:b/>
          <w:sz w:val="28"/>
          <w:szCs w:val="28"/>
          <w:u w:val="single"/>
        </w:rPr>
      </w:pPr>
      <w:r w:rsidRPr="00E20B1D">
        <w:rPr>
          <w:b/>
          <w:sz w:val="28"/>
          <w:szCs w:val="28"/>
          <w:u w:val="single"/>
        </w:rPr>
        <w:t>Use Note</w:t>
      </w:r>
    </w:p>
    <w:p w14:paraId="411C1726" w14:textId="77777777" w:rsidR="0001395A" w:rsidRPr="00E20B1D" w:rsidRDefault="0001395A">
      <w:pPr>
        <w:rPr>
          <w:sz w:val="28"/>
          <w:szCs w:val="28"/>
        </w:rPr>
      </w:pPr>
    </w:p>
    <w:p w14:paraId="6DB0EA03" w14:textId="7614CE7A" w:rsidR="0001395A" w:rsidRPr="00E20B1D" w:rsidRDefault="00412855">
      <w:pPr>
        <w:jc w:val="both"/>
        <w:rPr>
          <w:sz w:val="28"/>
          <w:szCs w:val="28"/>
        </w:rPr>
      </w:pPr>
      <w:r w:rsidRPr="00E20B1D">
        <w:rPr>
          <w:sz w:val="28"/>
          <w:szCs w:val="28"/>
        </w:rPr>
        <w:t>This instruction should be used when the plaintiff claims damages for breach of a covenant not to compete.</w:t>
      </w:r>
    </w:p>
    <w:p w14:paraId="17421FF3" w14:textId="5ED06A0B" w:rsidR="00130895" w:rsidRPr="00E20B1D" w:rsidRDefault="00130895">
      <w:pPr>
        <w:jc w:val="both"/>
        <w:rPr>
          <w:sz w:val="28"/>
          <w:szCs w:val="28"/>
        </w:rPr>
      </w:pPr>
    </w:p>
    <w:p w14:paraId="7C810DBF" w14:textId="21E1E834" w:rsidR="00130895" w:rsidRPr="00E20B1D" w:rsidRDefault="00052553">
      <w:pPr>
        <w:jc w:val="both"/>
        <w:rPr>
          <w:sz w:val="28"/>
          <w:szCs w:val="28"/>
        </w:rPr>
      </w:pPr>
      <w:r w:rsidRPr="00E20B1D">
        <w:rPr>
          <w:sz w:val="28"/>
          <w:szCs w:val="28"/>
        </w:rPr>
        <w:t>Following this instruction, t</w:t>
      </w:r>
      <w:r w:rsidR="00130895" w:rsidRPr="00E20B1D">
        <w:rPr>
          <w:sz w:val="28"/>
          <w:szCs w:val="28"/>
        </w:rPr>
        <w:t xml:space="preserve">he jury should be instructed on the law </w:t>
      </w:r>
      <w:r w:rsidRPr="00E20B1D">
        <w:rPr>
          <w:sz w:val="28"/>
          <w:szCs w:val="28"/>
        </w:rPr>
        <w:t xml:space="preserve">that governs </w:t>
      </w:r>
      <w:r w:rsidR="00130895" w:rsidRPr="00E20B1D">
        <w:rPr>
          <w:sz w:val="28"/>
          <w:szCs w:val="28"/>
        </w:rPr>
        <w:t>damage award</w:t>
      </w:r>
      <w:r w:rsidRPr="00E20B1D">
        <w:rPr>
          <w:sz w:val="28"/>
          <w:szCs w:val="28"/>
        </w:rPr>
        <w:t>s</w:t>
      </w:r>
      <w:r w:rsidR="00130895" w:rsidRPr="00E20B1D">
        <w:rPr>
          <w:sz w:val="28"/>
          <w:szCs w:val="28"/>
        </w:rPr>
        <w:t xml:space="preserve">.  </w:t>
      </w:r>
      <w:r w:rsidR="00130895" w:rsidRPr="00E20B1D">
        <w:rPr>
          <w:i/>
          <w:sz w:val="28"/>
          <w:szCs w:val="28"/>
        </w:rPr>
        <w:t>See</w:t>
      </w:r>
      <w:r w:rsidR="00130895" w:rsidRPr="00E20B1D">
        <w:rPr>
          <w:sz w:val="28"/>
          <w:szCs w:val="28"/>
        </w:rPr>
        <w:t xml:space="preserve"> Instruction 24.09A.</w:t>
      </w:r>
    </w:p>
    <w:p w14:paraId="370E73CB" w14:textId="77777777" w:rsidR="0001395A" w:rsidRPr="00E20B1D" w:rsidRDefault="0001395A">
      <w:pPr>
        <w:rPr>
          <w:sz w:val="28"/>
          <w:szCs w:val="28"/>
        </w:rPr>
      </w:pPr>
    </w:p>
    <w:p w14:paraId="407D1294" w14:textId="77777777" w:rsidR="0001395A" w:rsidRPr="00E20B1D" w:rsidRDefault="00412855">
      <w:pPr>
        <w:pStyle w:val="Heading1"/>
        <w:rPr>
          <w:rFonts w:ascii="Times New Roman" w:hAnsi="Times New Roman"/>
          <w:b/>
          <w:sz w:val="28"/>
          <w:szCs w:val="28"/>
        </w:rPr>
      </w:pPr>
      <w:r w:rsidRPr="00E20B1D">
        <w:rPr>
          <w:rFonts w:ascii="Times New Roman" w:hAnsi="Times New Roman"/>
          <w:b/>
          <w:sz w:val="28"/>
          <w:szCs w:val="28"/>
        </w:rPr>
        <w:t>Comment</w:t>
      </w:r>
    </w:p>
    <w:p w14:paraId="193E9DD2" w14:textId="77777777" w:rsidR="0001395A" w:rsidRPr="00E20B1D" w:rsidRDefault="0001395A">
      <w:pPr>
        <w:rPr>
          <w:sz w:val="28"/>
          <w:szCs w:val="28"/>
        </w:rPr>
      </w:pPr>
    </w:p>
    <w:p w14:paraId="123943E7" w14:textId="4A1445AF" w:rsidR="0001395A" w:rsidRPr="00E20B1D" w:rsidRDefault="00412855">
      <w:pPr>
        <w:jc w:val="both"/>
        <w:rPr>
          <w:sz w:val="28"/>
          <w:szCs w:val="28"/>
        </w:rPr>
      </w:pPr>
      <w:r w:rsidRPr="00E20B1D">
        <w:rPr>
          <w:sz w:val="28"/>
          <w:szCs w:val="28"/>
        </w:rPr>
        <w:t>"The measure [of damages] for breach of a covenant not to compete is generally not the profits earned by the breaching party, but rather the</w:t>
      </w:r>
      <w:r w:rsidRPr="00E20B1D">
        <w:rPr>
          <w:b/>
          <w:sz w:val="28"/>
          <w:szCs w:val="28"/>
        </w:rPr>
        <w:t xml:space="preserve"> </w:t>
      </w:r>
      <w:r w:rsidRPr="00E20B1D">
        <w:rPr>
          <w:sz w:val="28"/>
          <w:szCs w:val="28"/>
        </w:rPr>
        <w:t xml:space="preserve">lost profits of the party asserting the breach." </w:t>
      </w:r>
      <w:r w:rsidR="00D641E3" w:rsidRPr="00E20B1D">
        <w:rPr>
          <w:sz w:val="28"/>
          <w:szCs w:val="28"/>
        </w:rPr>
        <w:t xml:space="preserve"> </w:t>
      </w:r>
      <w:r w:rsidRPr="00E20B1D">
        <w:rPr>
          <w:i/>
          <w:sz w:val="28"/>
          <w:szCs w:val="28"/>
        </w:rPr>
        <w:t>National Bank of Alaska v. J.B.L. &amp; K. of Alaska, Inc.</w:t>
      </w:r>
      <w:r w:rsidRPr="00E20B1D">
        <w:rPr>
          <w:sz w:val="28"/>
          <w:szCs w:val="28"/>
        </w:rPr>
        <w:t>, 546 P.2d 579, 590 (Alaska 1976)</w:t>
      </w:r>
      <w:r w:rsidR="00D641E3" w:rsidRPr="00E20B1D">
        <w:rPr>
          <w:sz w:val="28"/>
          <w:szCs w:val="28"/>
        </w:rPr>
        <w:t>;</w:t>
      </w:r>
      <w:r w:rsidRPr="00E20B1D">
        <w:rPr>
          <w:sz w:val="28"/>
          <w:szCs w:val="28"/>
        </w:rPr>
        <w:t xml:space="preserve"> </w:t>
      </w:r>
      <w:r w:rsidR="00D641E3" w:rsidRPr="00E20B1D">
        <w:rPr>
          <w:i/>
          <w:sz w:val="28"/>
          <w:szCs w:val="28"/>
        </w:rPr>
        <w:t>s</w:t>
      </w:r>
      <w:r w:rsidRPr="00E20B1D">
        <w:rPr>
          <w:i/>
          <w:sz w:val="28"/>
          <w:szCs w:val="28"/>
        </w:rPr>
        <w:t xml:space="preserve">ee also </w:t>
      </w:r>
      <w:proofErr w:type="spellStart"/>
      <w:r w:rsidRPr="00E20B1D">
        <w:rPr>
          <w:i/>
          <w:sz w:val="28"/>
          <w:szCs w:val="28"/>
        </w:rPr>
        <w:t>Wirum</w:t>
      </w:r>
      <w:proofErr w:type="spellEnd"/>
      <w:r w:rsidRPr="00E20B1D">
        <w:rPr>
          <w:i/>
          <w:sz w:val="28"/>
          <w:szCs w:val="28"/>
        </w:rPr>
        <w:t xml:space="preserve"> &amp; Cash Architects v. Cash</w:t>
      </w:r>
      <w:r w:rsidRPr="00E20B1D">
        <w:rPr>
          <w:sz w:val="28"/>
          <w:szCs w:val="28"/>
        </w:rPr>
        <w:t xml:space="preserve">, 837 P.2d 692, 711 (Alaska 1992).  Although damages are measured by the loss of profit to the plaintiff, in determining this amount, the court may consider evidence of the profits earned by the defendant through breach of the covenant not to compete. </w:t>
      </w:r>
      <w:bookmarkStart w:id="0" w:name="_GoBack"/>
      <w:bookmarkEnd w:id="0"/>
      <w:r w:rsidRPr="00E20B1D">
        <w:rPr>
          <w:sz w:val="28"/>
          <w:szCs w:val="28"/>
        </w:rPr>
        <w:t xml:space="preserve"> </w:t>
      </w:r>
      <w:r w:rsidRPr="00E20B1D">
        <w:rPr>
          <w:i/>
          <w:iCs/>
          <w:sz w:val="28"/>
          <w:szCs w:val="28"/>
        </w:rPr>
        <w:t>Id</w:t>
      </w:r>
      <w:r w:rsidRPr="00E20B1D">
        <w:rPr>
          <w:sz w:val="28"/>
          <w:szCs w:val="28"/>
        </w:rPr>
        <w:t>.</w:t>
      </w:r>
    </w:p>
    <w:p w14:paraId="763F4F3A" w14:textId="77777777" w:rsidR="00467980" w:rsidRPr="00E20B1D" w:rsidRDefault="00467980" w:rsidP="00FF6554">
      <w:pPr>
        <w:tabs>
          <w:tab w:val="left" w:pos="1440"/>
        </w:tabs>
        <w:spacing w:line="360" w:lineRule="auto"/>
        <w:jc w:val="both"/>
        <w:rPr>
          <w:sz w:val="28"/>
          <w:szCs w:val="28"/>
        </w:rPr>
      </w:pPr>
    </w:p>
    <w:sectPr w:rsidR="00467980" w:rsidRPr="00E20B1D">
      <w:footerReference w:type="default" r:id="rId6"/>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97A651" w14:textId="77777777" w:rsidR="00D6623F" w:rsidRDefault="00D6623F">
      <w:r>
        <w:separator/>
      </w:r>
    </w:p>
  </w:endnote>
  <w:endnote w:type="continuationSeparator" w:id="0">
    <w:p w14:paraId="33CE9E9B" w14:textId="77777777" w:rsidR="00D6623F" w:rsidRDefault="00D66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0A356" w14:textId="2BF3B1E5" w:rsidR="00E20B1D" w:rsidRDefault="00E20B1D">
    <w:pPr>
      <w:pStyle w:val="Footer"/>
    </w:pPr>
    <w:r>
      <w:t>Revised 2022</w:t>
    </w:r>
    <w:r>
      <w:ptab w:relativeTo="margin" w:alignment="center" w:leader="none"/>
    </w:r>
    <w:r>
      <w:t>24.09G</w:t>
    </w:r>
    <w:r>
      <w:ptab w:relativeTo="margin" w:alignment="right" w:leader="none"/>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E1FF3D" w14:textId="77777777" w:rsidR="00D6623F" w:rsidRDefault="00D6623F">
      <w:r>
        <w:separator/>
      </w:r>
    </w:p>
  </w:footnote>
  <w:footnote w:type="continuationSeparator" w:id="0">
    <w:p w14:paraId="5188F69E" w14:textId="77777777" w:rsidR="00D6623F" w:rsidRDefault="00D662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855"/>
    <w:rsid w:val="00005631"/>
    <w:rsid w:val="0001395A"/>
    <w:rsid w:val="00052553"/>
    <w:rsid w:val="000D0063"/>
    <w:rsid w:val="00130895"/>
    <w:rsid w:val="001345D8"/>
    <w:rsid w:val="002E5C70"/>
    <w:rsid w:val="00412855"/>
    <w:rsid w:val="00467980"/>
    <w:rsid w:val="004D77EE"/>
    <w:rsid w:val="005522C3"/>
    <w:rsid w:val="005D1E26"/>
    <w:rsid w:val="006D0452"/>
    <w:rsid w:val="008D1304"/>
    <w:rsid w:val="00977740"/>
    <w:rsid w:val="00994FD2"/>
    <w:rsid w:val="009A3D8F"/>
    <w:rsid w:val="009A6D16"/>
    <w:rsid w:val="00A97DD3"/>
    <w:rsid w:val="00AA0E03"/>
    <w:rsid w:val="00B45D65"/>
    <w:rsid w:val="00B52E94"/>
    <w:rsid w:val="00BB4466"/>
    <w:rsid w:val="00D40901"/>
    <w:rsid w:val="00D641E3"/>
    <w:rsid w:val="00D6623F"/>
    <w:rsid w:val="00E20B1D"/>
    <w:rsid w:val="00EE0D25"/>
    <w:rsid w:val="00EE44F3"/>
    <w:rsid w:val="00FF6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9DC1D07"/>
  <w15:docId w15:val="{5752AFA6-F166-42BB-8284-94E5C1456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tabs>
        <w:tab w:val="right" w:pos="9550"/>
      </w:tabs>
      <w:jc w:val="center"/>
      <w:outlineLvl w:val="0"/>
    </w:pPr>
    <w:rPr>
      <w:rFonts w:ascii="Bookman Old Style" w:hAnsi="Bookman Old Style"/>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jc w:val="center"/>
    </w:pPr>
    <w:rPr>
      <w:rFonts w:ascii="Bookman Old Style" w:hAnsi="Bookman Old Style"/>
      <w:sz w:val="26"/>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2">
    <w:name w:val="Body Text 2"/>
    <w:basedOn w:val="Normal"/>
    <w:link w:val="BodyText2Char"/>
    <w:pPr>
      <w:tabs>
        <w:tab w:val="left" w:pos="1440"/>
      </w:tabs>
      <w:ind w:left="1440" w:hanging="1440"/>
    </w:pPr>
    <w:rPr>
      <w:rFonts w:ascii="Bookman Old Style" w:hAnsi="Bookman Old Style"/>
      <w:b/>
      <w:sz w:val="26"/>
    </w:rPr>
  </w:style>
  <w:style w:type="paragraph" w:customStyle="1" w:styleId="DocID">
    <w:name w:val="DocID"/>
    <w:basedOn w:val="Footer"/>
    <w:next w:val="Footer"/>
    <w:link w:val="DocIDChar"/>
    <w:rsid w:val="00005631"/>
    <w:pPr>
      <w:tabs>
        <w:tab w:val="clear" w:pos="4320"/>
        <w:tab w:val="clear" w:pos="8640"/>
      </w:tabs>
    </w:pPr>
    <w:rPr>
      <w:sz w:val="16"/>
    </w:rPr>
  </w:style>
  <w:style w:type="character" w:customStyle="1" w:styleId="BodyText2Char">
    <w:name w:val="Body Text 2 Char"/>
    <w:link w:val="BodyText2"/>
    <w:rsid w:val="00005631"/>
    <w:rPr>
      <w:rFonts w:ascii="Bookman Old Style" w:hAnsi="Bookman Old Style"/>
      <w:b/>
      <w:sz w:val="26"/>
    </w:rPr>
  </w:style>
  <w:style w:type="character" w:customStyle="1" w:styleId="DocIDChar">
    <w:name w:val="DocID Char"/>
    <w:link w:val="DocID"/>
    <w:rsid w:val="00005631"/>
    <w:rPr>
      <w:rFonts w:ascii="Bookman Old Style" w:hAnsi="Bookman Old Style"/>
      <w:b w:val="0"/>
      <w:sz w:val="16"/>
      <w:lang w:val="en-US" w:eastAsia="en-US"/>
    </w:rPr>
  </w:style>
  <w:style w:type="paragraph" w:styleId="Revision">
    <w:name w:val="Revision"/>
    <w:hidden/>
    <w:uiPriority w:val="99"/>
    <w:semiHidden/>
    <w:rsid w:val="00BB4466"/>
  </w:style>
  <w:style w:type="paragraph" w:styleId="BalloonText">
    <w:name w:val="Balloon Text"/>
    <w:basedOn w:val="Normal"/>
    <w:link w:val="BalloonTextChar"/>
    <w:uiPriority w:val="99"/>
    <w:semiHidden/>
    <w:unhideWhenUsed/>
    <w:rsid w:val="00BB44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44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213</Words>
  <Characters>1075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Hanley Robinson</cp:lastModifiedBy>
  <cp:revision>3</cp:revision>
  <dcterms:created xsi:type="dcterms:W3CDTF">2021-12-10T23:29:00Z</dcterms:created>
  <dcterms:modified xsi:type="dcterms:W3CDTF">2022-02-28T23:36:00Z</dcterms:modified>
</cp:coreProperties>
</file>