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041E" w14:textId="6C968D77" w:rsidR="00064EA4" w:rsidRDefault="00782C97" w:rsidP="00C86381">
      <w:pPr>
        <w:pStyle w:val="BodyText"/>
        <w:spacing w:after="0"/>
        <w:jc w:val="both"/>
        <w:rPr>
          <w:b/>
        </w:rPr>
      </w:pPr>
      <w:r w:rsidRPr="007B33C8">
        <w:rPr>
          <w:b/>
        </w:rPr>
        <w:t>24.12C</w:t>
      </w:r>
      <w:r w:rsidRPr="007B33C8">
        <w:rPr>
          <w:b/>
        </w:rPr>
        <w:tab/>
      </w:r>
      <w:r w:rsidR="00064EA4" w:rsidRPr="007B33C8">
        <w:rPr>
          <w:b/>
        </w:rPr>
        <w:t>REST</w:t>
      </w:r>
      <w:r w:rsidR="00DB2650" w:rsidRPr="007B33C8">
        <w:rPr>
          <w:b/>
        </w:rPr>
        <w:t xml:space="preserve">ITUTION BASED ON </w:t>
      </w:r>
      <w:r w:rsidR="00346881" w:rsidRPr="007B33C8">
        <w:rPr>
          <w:b/>
        </w:rPr>
        <w:t>QUASI</w:t>
      </w:r>
      <w:r w:rsidR="00346881">
        <w:rPr>
          <w:b/>
        </w:rPr>
        <w:t>-</w:t>
      </w:r>
      <w:r w:rsidR="00DB2650" w:rsidRPr="007B33C8">
        <w:rPr>
          <w:b/>
        </w:rPr>
        <w:t>CONTR</w:t>
      </w:r>
      <w:r w:rsidRPr="007B33C8">
        <w:rPr>
          <w:b/>
        </w:rPr>
        <w:t>A</w:t>
      </w:r>
      <w:r w:rsidR="00DB2650" w:rsidRPr="007B33C8">
        <w:rPr>
          <w:b/>
        </w:rPr>
        <w:t xml:space="preserve">CT </w:t>
      </w:r>
      <w:r w:rsidR="00F33D99" w:rsidRPr="007B33C8">
        <w:rPr>
          <w:b/>
        </w:rPr>
        <w:t>OR</w:t>
      </w:r>
      <w:r w:rsidR="00DB2650" w:rsidRPr="007B33C8">
        <w:rPr>
          <w:b/>
        </w:rPr>
        <w:t xml:space="preserve"> IMPLIED </w:t>
      </w:r>
      <w:r w:rsidR="00F33D99" w:rsidRPr="007B33C8">
        <w:rPr>
          <w:b/>
        </w:rPr>
        <w:tab/>
      </w:r>
      <w:r w:rsidR="00F33D99" w:rsidRPr="007B33C8">
        <w:rPr>
          <w:b/>
        </w:rPr>
        <w:tab/>
      </w:r>
      <w:r w:rsidR="00DB2650" w:rsidRPr="007B33C8">
        <w:rPr>
          <w:b/>
        </w:rPr>
        <w:t>CONTRACT</w:t>
      </w:r>
    </w:p>
    <w:p w14:paraId="3C44484A" w14:textId="77777777" w:rsidR="00EF1263" w:rsidRPr="007B33C8" w:rsidRDefault="00EF1263" w:rsidP="00EF1263">
      <w:pPr>
        <w:pStyle w:val="BodyText"/>
        <w:spacing w:after="0" w:line="360" w:lineRule="auto"/>
        <w:jc w:val="both"/>
        <w:rPr>
          <w:b/>
        </w:rPr>
      </w:pPr>
    </w:p>
    <w:p w14:paraId="69783E18" w14:textId="64A94400" w:rsidR="00C35440" w:rsidRDefault="009244ED" w:rsidP="00C86381">
      <w:pPr>
        <w:pStyle w:val="BodyText"/>
        <w:spacing w:after="0" w:line="360" w:lineRule="auto"/>
        <w:jc w:val="both"/>
      </w:pPr>
      <w:r>
        <w:t>[Plaintiff] claims that [defendant] received a financial benefit from [</w:t>
      </w:r>
      <w:r w:rsidR="00480ADC">
        <w:t>plaintiff</w:t>
      </w:r>
      <w:r>
        <w:t>] and that [defendant] should be required to compensate [plaintiff] for the value of this benefit.</w:t>
      </w:r>
    </w:p>
    <w:p w14:paraId="4CA29FAC" w14:textId="77777777" w:rsidR="00C86381" w:rsidRDefault="00C86381" w:rsidP="00C86381">
      <w:pPr>
        <w:pStyle w:val="BodyText"/>
        <w:spacing w:after="0" w:line="360" w:lineRule="auto"/>
        <w:jc w:val="both"/>
      </w:pPr>
    </w:p>
    <w:p w14:paraId="39DA1EC5" w14:textId="2889EE42" w:rsidR="009244ED" w:rsidRDefault="009244ED" w:rsidP="007B33C8">
      <w:pPr>
        <w:pStyle w:val="BodyText"/>
        <w:spacing w:line="360" w:lineRule="auto"/>
        <w:jc w:val="both"/>
      </w:pPr>
      <w:r>
        <w:t>In order to find in favor of [plaintiff] on this claim, you must find that each of the following elements is more likely true than not true:</w:t>
      </w:r>
    </w:p>
    <w:p w14:paraId="4E861D00" w14:textId="48E8601C" w:rsidR="009244ED" w:rsidRDefault="002017F1" w:rsidP="007B33C8">
      <w:pPr>
        <w:pStyle w:val="BodyText"/>
        <w:numPr>
          <w:ilvl w:val="0"/>
          <w:numId w:val="1"/>
        </w:numPr>
        <w:spacing w:line="360" w:lineRule="auto"/>
        <w:jc w:val="both"/>
      </w:pPr>
      <w:r>
        <w:t>[Plaintiff]’s conduct gave [defendant] a financial benefit;</w:t>
      </w:r>
    </w:p>
    <w:p w14:paraId="2B78730C" w14:textId="77777777" w:rsidR="007B33C8" w:rsidRDefault="009244ED" w:rsidP="007B33C8">
      <w:pPr>
        <w:pStyle w:val="BodyText"/>
        <w:numPr>
          <w:ilvl w:val="0"/>
          <w:numId w:val="1"/>
        </w:numPr>
        <w:spacing w:line="360" w:lineRule="auto"/>
        <w:jc w:val="both"/>
      </w:pPr>
      <w:r>
        <w:t xml:space="preserve">[Defendant] realized that [he </w:t>
      </w:r>
      <w:proofErr w:type="spellStart"/>
      <w:r>
        <w:t>she</w:t>
      </w:r>
      <w:proofErr w:type="spellEnd"/>
      <w:r>
        <w:t xml:space="preserve"> it] had received a </w:t>
      </w:r>
      <w:r w:rsidR="002017F1">
        <w:t xml:space="preserve">financial </w:t>
      </w:r>
      <w:r>
        <w:t>benefit</w:t>
      </w:r>
      <w:r w:rsidR="002017F1">
        <w:t xml:space="preserve"> as a result of [plaintiff]’s conduct</w:t>
      </w:r>
      <w:r w:rsidR="00704DAE">
        <w:t>, and accepted the benefit;</w:t>
      </w:r>
    </w:p>
    <w:p w14:paraId="706D5941" w14:textId="3AD0C1D8" w:rsidR="002017F1" w:rsidRDefault="002017F1" w:rsidP="00C86381">
      <w:pPr>
        <w:pStyle w:val="BodyText"/>
        <w:numPr>
          <w:ilvl w:val="0"/>
          <w:numId w:val="1"/>
        </w:numPr>
        <w:spacing w:after="0" w:line="360" w:lineRule="auto"/>
        <w:jc w:val="both"/>
      </w:pPr>
      <w:r>
        <w:t>Under the circumstances, it would be un</w:t>
      </w:r>
      <w:r w:rsidR="002B4BA2">
        <w:t>fair</w:t>
      </w:r>
      <w:r>
        <w:t xml:space="preserve"> to allow [defendant] to keep the benefit without </w:t>
      </w:r>
      <w:r w:rsidR="00704DAE">
        <w:t>paying [plaintiff] for the value of the benefit</w:t>
      </w:r>
      <w:r w:rsidR="002B4BA2">
        <w:t xml:space="preserve">.  </w:t>
      </w:r>
    </w:p>
    <w:p w14:paraId="75A95C6C" w14:textId="77777777" w:rsidR="00C86381" w:rsidRDefault="00C86381" w:rsidP="00C86381">
      <w:pPr>
        <w:pStyle w:val="BodyText"/>
        <w:spacing w:after="0" w:line="360" w:lineRule="auto"/>
        <w:ind w:left="1080"/>
        <w:jc w:val="both"/>
      </w:pPr>
    </w:p>
    <w:p w14:paraId="0123118A" w14:textId="2EAF8951" w:rsidR="002017F1" w:rsidRDefault="002017F1" w:rsidP="005929C4">
      <w:pPr>
        <w:pStyle w:val="BodyText"/>
        <w:spacing w:after="0" w:line="360" w:lineRule="auto"/>
        <w:jc w:val="both"/>
      </w:pPr>
      <w:r>
        <w:t xml:space="preserve">If you find that each of these elements is more likely true than not true, you should award [plaintiff] an amount </w:t>
      </w:r>
      <w:r w:rsidR="00064EA4">
        <w:t>equal to the value of the benefit received by [</w:t>
      </w:r>
      <w:r w:rsidR="00480ADC">
        <w:t>defendant</w:t>
      </w:r>
      <w:r w:rsidR="00064EA4">
        <w:t>] as a result of [plaintiff]’s conduct.</w:t>
      </w:r>
    </w:p>
    <w:p w14:paraId="1F33BDFF" w14:textId="77777777" w:rsidR="005929C4" w:rsidRDefault="005929C4" w:rsidP="005929C4">
      <w:pPr>
        <w:pStyle w:val="BodyText"/>
        <w:spacing w:after="0" w:line="360" w:lineRule="auto"/>
        <w:jc w:val="both"/>
      </w:pPr>
    </w:p>
    <w:p w14:paraId="0B2AC3AC" w14:textId="13B7154A" w:rsidR="00645368" w:rsidRDefault="007B33C8" w:rsidP="00EF1263">
      <w:pPr>
        <w:pStyle w:val="BodyText"/>
        <w:spacing w:after="0"/>
        <w:jc w:val="center"/>
        <w:rPr>
          <w:b/>
          <w:u w:val="single"/>
        </w:rPr>
      </w:pPr>
      <w:r>
        <w:rPr>
          <w:b/>
          <w:u w:val="single"/>
        </w:rPr>
        <w:t>Use Note</w:t>
      </w:r>
    </w:p>
    <w:p w14:paraId="71B87B77" w14:textId="77777777" w:rsidR="00EF1263" w:rsidRPr="007B33C8" w:rsidRDefault="00EF1263" w:rsidP="00EF1263">
      <w:pPr>
        <w:pStyle w:val="BodyText"/>
        <w:spacing w:after="0"/>
        <w:jc w:val="center"/>
        <w:rPr>
          <w:b/>
          <w:u w:val="single"/>
        </w:rPr>
      </w:pPr>
    </w:p>
    <w:p w14:paraId="33699E57" w14:textId="21E6D759" w:rsidR="00DB2650" w:rsidRDefault="00645368" w:rsidP="00EF1263">
      <w:pPr>
        <w:pStyle w:val="BodyText"/>
        <w:spacing w:after="0"/>
        <w:jc w:val="both"/>
      </w:pPr>
      <w:r>
        <w:t xml:space="preserve">This instruction should be given when plaintiff </w:t>
      </w:r>
      <w:r w:rsidR="0053799C">
        <w:t>asserts a</w:t>
      </w:r>
      <w:r w:rsidR="0006143A">
        <w:t>n</w:t>
      </w:r>
      <w:r>
        <w:t xml:space="preserve"> implied contract/quasi-contractual claim for restitution.</w:t>
      </w:r>
    </w:p>
    <w:p w14:paraId="2FE02901" w14:textId="77777777" w:rsidR="005929C4" w:rsidRDefault="005929C4" w:rsidP="00EF1263">
      <w:pPr>
        <w:pStyle w:val="BodyText"/>
        <w:spacing w:after="0"/>
        <w:jc w:val="both"/>
      </w:pPr>
    </w:p>
    <w:p w14:paraId="6ADE98C0" w14:textId="4D657E4A" w:rsidR="00645368" w:rsidRDefault="00EF1263" w:rsidP="00EF1263">
      <w:pPr>
        <w:pStyle w:val="BodyText"/>
        <w:spacing w:after="0"/>
        <w:jc w:val="center"/>
        <w:rPr>
          <w:b/>
          <w:u w:val="single"/>
        </w:rPr>
      </w:pPr>
      <w:r>
        <w:rPr>
          <w:b/>
          <w:u w:val="single"/>
        </w:rPr>
        <w:t>Comment</w:t>
      </w:r>
    </w:p>
    <w:p w14:paraId="49AAB2AD" w14:textId="77777777" w:rsidR="00EF1263" w:rsidRPr="007B33C8" w:rsidRDefault="00EF1263" w:rsidP="00EF1263">
      <w:pPr>
        <w:pStyle w:val="BodyText"/>
        <w:spacing w:after="0"/>
        <w:jc w:val="center"/>
        <w:rPr>
          <w:b/>
          <w:u w:val="single"/>
        </w:rPr>
      </w:pPr>
    </w:p>
    <w:p w14:paraId="526B790A" w14:textId="34956FDD" w:rsidR="00645368" w:rsidRDefault="00645368" w:rsidP="00EF1263">
      <w:pPr>
        <w:pStyle w:val="BodyText"/>
        <w:spacing w:after="0"/>
        <w:jc w:val="both"/>
      </w:pPr>
      <w:r>
        <w:t>Under Alaska law, a party may seek re</w:t>
      </w:r>
      <w:r w:rsidR="002F546D">
        <w:t>stitution</w:t>
      </w:r>
      <w:r>
        <w:t xml:space="preserve"> under a theory of quasi-contract or implied contract.  The elements of this claim are:</w:t>
      </w:r>
    </w:p>
    <w:p w14:paraId="63F14308" w14:textId="77777777" w:rsidR="00EF1263" w:rsidRDefault="00EF1263" w:rsidP="00EF1263">
      <w:pPr>
        <w:pStyle w:val="BodyText"/>
        <w:spacing w:after="0"/>
        <w:jc w:val="both"/>
      </w:pPr>
    </w:p>
    <w:p w14:paraId="7CFB755F" w14:textId="19EA7CCF" w:rsidR="007B33C8" w:rsidRDefault="00EF1263" w:rsidP="007B33C8">
      <w:pPr>
        <w:pStyle w:val="Quote"/>
        <w:numPr>
          <w:ilvl w:val="0"/>
          <w:numId w:val="2"/>
        </w:numPr>
        <w:jc w:val="both"/>
      </w:pPr>
      <w:r>
        <w:lastRenderedPageBreak/>
        <w:t>A</w:t>
      </w:r>
      <w:r w:rsidR="002B4BA2">
        <w:t xml:space="preserve"> benefit conferred upon the defendant by the plaintiff;</w:t>
      </w:r>
    </w:p>
    <w:p w14:paraId="47BB005D" w14:textId="75B1A7F8" w:rsidR="007B33C8" w:rsidRDefault="00EF1263" w:rsidP="007B33C8">
      <w:pPr>
        <w:pStyle w:val="Quote"/>
        <w:numPr>
          <w:ilvl w:val="0"/>
          <w:numId w:val="2"/>
        </w:numPr>
        <w:jc w:val="both"/>
      </w:pPr>
      <w:r>
        <w:t>A</w:t>
      </w:r>
      <w:r w:rsidR="00704DAE">
        <w:t>ppreciation by the defendant of such benefit</w:t>
      </w:r>
      <w:r w:rsidR="00480ADC">
        <w:t>; and</w:t>
      </w:r>
    </w:p>
    <w:p w14:paraId="46FF7D17" w14:textId="5BFAC5ED" w:rsidR="00704DAE" w:rsidRDefault="00EF1263" w:rsidP="005929C4">
      <w:pPr>
        <w:pStyle w:val="Quote"/>
        <w:numPr>
          <w:ilvl w:val="0"/>
          <w:numId w:val="2"/>
        </w:numPr>
        <w:spacing w:after="0"/>
        <w:jc w:val="both"/>
      </w:pPr>
      <w:r>
        <w:t>A</w:t>
      </w:r>
      <w:r w:rsidR="00704DAE">
        <w:t>cceptance and retention by the defendant of such benefit under such circumstances that it would be inequitable for him to reta</w:t>
      </w:r>
      <w:r w:rsidR="00F33D99">
        <w:t>i</w:t>
      </w:r>
      <w:r w:rsidR="00704DAE">
        <w:t>n it without paying the value thereof.</w:t>
      </w:r>
    </w:p>
    <w:p w14:paraId="3E87F468" w14:textId="77777777" w:rsidR="005929C4" w:rsidRPr="005929C4" w:rsidRDefault="005929C4" w:rsidP="005929C4">
      <w:pPr>
        <w:pStyle w:val="BodyTextContinued"/>
      </w:pPr>
    </w:p>
    <w:p w14:paraId="29312075" w14:textId="12EA4566" w:rsidR="00AE3A8B" w:rsidRDefault="002F546D" w:rsidP="005929C4">
      <w:pPr>
        <w:pStyle w:val="BodyTextContinued"/>
        <w:spacing w:after="0"/>
        <w:jc w:val="both"/>
      </w:pPr>
      <w:proofErr w:type="spellStart"/>
      <w:r>
        <w:rPr>
          <w:i/>
          <w:iCs/>
        </w:rPr>
        <w:t>ResQSoft</w:t>
      </w:r>
      <w:proofErr w:type="spellEnd"/>
      <w:r>
        <w:rPr>
          <w:i/>
          <w:iCs/>
        </w:rPr>
        <w:t>, Inc. v. Protech Solutions, Inc.</w:t>
      </w:r>
      <w:r w:rsidR="00AE3A8B">
        <w:t xml:space="preserve">, </w:t>
      </w:r>
      <w:r>
        <w:t>488 P.</w:t>
      </w:r>
      <w:r w:rsidR="00AE3A8B">
        <w:t xml:space="preserve">3d </w:t>
      </w:r>
      <w:r>
        <w:t>979, 989</w:t>
      </w:r>
      <w:r w:rsidR="00AE3A8B">
        <w:t xml:space="preserve"> (Alaska 20</w:t>
      </w:r>
      <w:r>
        <w:t>21</w:t>
      </w:r>
      <w:r w:rsidR="00AE3A8B">
        <w:t>)</w:t>
      </w:r>
      <w:r w:rsidR="00480ADC">
        <w:rPr>
          <w:i/>
          <w:iCs/>
        </w:rPr>
        <w:t>; s</w:t>
      </w:r>
      <w:r w:rsidR="00AE3A8B" w:rsidRPr="00A61ED0">
        <w:rPr>
          <w:i/>
          <w:iCs/>
        </w:rPr>
        <w:t xml:space="preserve">ee also </w:t>
      </w:r>
      <w:r w:rsidR="00AE3A8B">
        <w:rPr>
          <w:i/>
          <w:iCs/>
        </w:rPr>
        <w:t xml:space="preserve">Bennett v. </w:t>
      </w:r>
      <w:proofErr w:type="spellStart"/>
      <w:r w:rsidR="00AE3A8B">
        <w:rPr>
          <w:i/>
          <w:iCs/>
        </w:rPr>
        <w:t>Artus</w:t>
      </w:r>
      <w:proofErr w:type="spellEnd"/>
      <w:r w:rsidR="00AE3A8B">
        <w:rPr>
          <w:i/>
          <w:iCs/>
        </w:rPr>
        <w:t xml:space="preserve">, </w:t>
      </w:r>
      <w:r w:rsidR="00AE3A8B" w:rsidRPr="00A61ED0">
        <w:t>20 P.3d 560, 563 (Alaska 2001)</w:t>
      </w:r>
      <w:r w:rsidR="00480ADC">
        <w:t>;</w:t>
      </w:r>
      <w:r w:rsidR="00AE3A8B">
        <w:rPr>
          <w:i/>
          <w:iCs/>
        </w:rPr>
        <w:t xml:space="preserve"> </w:t>
      </w:r>
      <w:r w:rsidR="00AE3A8B" w:rsidRPr="00F33D99">
        <w:rPr>
          <w:i/>
          <w:iCs/>
        </w:rPr>
        <w:t>Brady v. State</w:t>
      </w:r>
      <w:r w:rsidR="00AE3A8B">
        <w:t>, 965 P.2d 1, 14 (Alaska 1998);</w:t>
      </w:r>
      <w:r w:rsidR="00AE3A8B">
        <w:rPr>
          <w:i/>
          <w:iCs/>
        </w:rPr>
        <w:t xml:space="preserve"> </w:t>
      </w:r>
      <w:r w:rsidR="00AE3A8B" w:rsidRPr="00A61ED0">
        <w:rPr>
          <w:i/>
          <w:iCs/>
        </w:rPr>
        <w:t>Darling</w:t>
      </w:r>
      <w:r w:rsidR="00AE3A8B" w:rsidRPr="00614CD0">
        <w:rPr>
          <w:i/>
          <w:iCs/>
        </w:rPr>
        <w:t xml:space="preserve"> v. Standard Alaska P</w:t>
      </w:r>
      <w:r w:rsidR="003246A3">
        <w:rPr>
          <w:i/>
          <w:iCs/>
        </w:rPr>
        <w:t>roduction</w:t>
      </w:r>
      <w:r w:rsidR="00AE3A8B" w:rsidRPr="00614CD0">
        <w:rPr>
          <w:i/>
          <w:iCs/>
        </w:rPr>
        <w:t xml:space="preserve"> Co</w:t>
      </w:r>
      <w:r w:rsidR="00AE3A8B">
        <w:t xml:space="preserve">., 818 P.2d 677, 680 (Alaska 1991); </w:t>
      </w:r>
      <w:r w:rsidR="00AE3A8B" w:rsidRPr="00614CD0">
        <w:rPr>
          <w:i/>
          <w:iCs/>
        </w:rPr>
        <w:t>Alaska Sales &amp; Service, Inc. v</w:t>
      </w:r>
      <w:r w:rsidR="003246A3">
        <w:rPr>
          <w:i/>
          <w:iCs/>
        </w:rPr>
        <w:t>.</w:t>
      </w:r>
      <w:bookmarkStart w:id="0" w:name="_GoBack"/>
      <w:bookmarkEnd w:id="0"/>
      <w:r w:rsidR="00AE3A8B" w:rsidRPr="00614CD0">
        <w:rPr>
          <w:i/>
          <w:iCs/>
        </w:rPr>
        <w:t xml:space="preserve"> Millet</w:t>
      </w:r>
      <w:r w:rsidR="00AE3A8B">
        <w:t xml:space="preserve">, 735 P.2d 743, 746 (Alaska 1987).  If these elements are satisfied, the remedy is an award that reflects the value of the benefit received by the recipient.  </w:t>
      </w:r>
      <w:r w:rsidR="00AE3A8B" w:rsidRPr="00126415">
        <w:rPr>
          <w:i/>
          <w:iCs/>
        </w:rPr>
        <w:t>Bennett</w:t>
      </w:r>
      <w:r w:rsidR="00AE3A8B">
        <w:t>, 20 P.3d at 564 &amp; n. 20</w:t>
      </w:r>
      <w:r w:rsidR="00480ADC">
        <w:t xml:space="preserve">; </w:t>
      </w:r>
      <w:r w:rsidR="00480ADC">
        <w:rPr>
          <w:i/>
          <w:iCs/>
        </w:rPr>
        <w:t>s</w:t>
      </w:r>
      <w:r w:rsidR="00AE3A8B" w:rsidRPr="0010083E">
        <w:rPr>
          <w:i/>
          <w:iCs/>
        </w:rPr>
        <w:t xml:space="preserve">ee also </w:t>
      </w:r>
      <w:proofErr w:type="spellStart"/>
      <w:r w:rsidR="00AE3A8B" w:rsidRPr="0010083E">
        <w:rPr>
          <w:i/>
          <w:iCs/>
        </w:rPr>
        <w:t>Krossa</w:t>
      </w:r>
      <w:proofErr w:type="spellEnd"/>
      <w:r w:rsidR="00AE3A8B" w:rsidRPr="0010083E">
        <w:rPr>
          <w:i/>
          <w:iCs/>
        </w:rPr>
        <w:t xml:space="preserve"> v. All Alaskan Seafoods, Inc</w:t>
      </w:r>
      <w:r w:rsidR="00AE3A8B">
        <w:t>., 37 P.3d 411, 419 (Alaska 2001).</w:t>
      </w:r>
    </w:p>
    <w:p w14:paraId="2BD2F953" w14:textId="77777777" w:rsidR="005929C4" w:rsidRPr="005929C4" w:rsidRDefault="005929C4" w:rsidP="005929C4">
      <w:pPr>
        <w:pStyle w:val="BodyText"/>
      </w:pPr>
    </w:p>
    <w:p w14:paraId="5CB70065" w14:textId="61FFDC90" w:rsidR="00AE3A8B" w:rsidRDefault="00AE3A8B" w:rsidP="005929C4">
      <w:pPr>
        <w:pStyle w:val="BodyText"/>
        <w:spacing w:after="0"/>
        <w:jc w:val="both"/>
      </w:pPr>
      <w:r>
        <w:t xml:space="preserve">The concept of “appreciation” of the benefit refers to the recipient’s acknowledgement that he or she received a benefit.  </w:t>
      </w:r>
      <w:r w:rsidR="00F33D99">
        <w:rPr>
          <w:i/>
          <w:iCs/>
        </w:rPr>
        <w:t>Bennett</w:t>
      </w:r>
      <w:r w:rsidR="00480ADC">
        <w:t>,</w:t>
      </w:r>
      <w:r>
        <w:t xml:space="preserve"> </w:t>
      </w:r>
      <w:r w:rsidR="00F33D99">
        <w:t xml:space="preserve">20 P.3d </w:t>
      </w:r>
      <w:r>
        <w:t>at 565</w:t>
      </w:r>
      <w:r w:rsidR="007B33C8">
        <w:t xml:space="preserve"> (</w:t>
      </w:r>
      <w:r>
        <w:t xml:space="preserve">citing </w:t>
      </w:r>
      <w:r w:rsidRPr="00126415">
        <w:rPr>
          <w:i/>
          <w:iCs/>
        </w:rPr>
        <w:t>Alaska Sales</w:t>
      </w:r>
      <w:r>
        <w:t>, 735 P.2d at 745</w:t>
      </w:r>
      <w:r w:rsidR="007B33C8">
        <w:t>)</w:t>
      </w:r>
      <w:r>
        <w:t>.</w:t>
      </w:r>
    </w:p>
    <w:p w14:paraId="2FBD77C0" w14:textId="77777777" w:rsidR="005929C4" w:rsidRDefault="005929C4" w:rsidP="005929C4">
      <w:pPr>
        <w:pStyle w:val="BodyText"/>
        <w:spacing w:after="0"/>
        <w:jc w:val="both"/>
      </w:pPr>
    </w:p>
    <w:p w14:paraId="2D22AEF3" w14:textId="12DDB360" w:rsidR="002F546D" w:rsidRDefault="002F546D" w:rsidP="005929C4">
      <w:pPr>
        <w:pStyle w:val="BodyText"/>
        <w:spacing w:after="0"/>
        <w:jc w:val="both"/>
      </w:pPr>
      <w:r>
        <w:t xml:space="preserve">The most significant requirement is that the enrichment must be unjust; that is, that the </w:t>
      </w:r>
      <w:r w:rsidR="0006143A">
        <w:t xml:space="preserve">defendant received a true windfall or “something for nothing.”  </w:t>
      </w:r>
      <w:proofErr w:type="spellStart"/>
      <w:r w:rsidR="0006143A" w:rsidRPr="0006143A">
        <w:rPr>
          <w:i/>
          <w:iCs/>
        </w:rPr>
        <w:t>ResQSoft</w:t>
      </w:r>
      <w:proofErr w:type="spellEnd"/>
      <w:r w:rsidR="0006143A" w:rsidRPr="0006143A">
        <w:rPr>
          <w:i/>
          <w:iCs/>
        </w:rPr>
        <w:t>,</w:t>
      </w:r>
      <w:r w:rsidR="0006143A">
        <w:t xml:space="preserve"> 488 P.3d at 990; </w:t>
      </w:r>
      <w:r w:rsidR="0006143A" w:rsidRPr="0006143A">
        <w:rPr>
          <w:i/>
          <w:iCs/>
        </w:rPr>
        <w:t>Alaska Sales</w:t>
      </w:r>
      <w:r w:rsidR="0006143A">
        <w:t>, 735 P.2d at 746.</w:t>
      </w:r>
    </w:p>
    <w:p w14:paraId="5E373075" w14:textId="77777777" w:rsidR="005929C4" w:rsidRPr="00126415" w:rsidRDefault="005929C4" w:rsidP="005929C4">
      <w:pPr>
        <w:pStyle w:val="BodyText"/>
        <w:spacing w:after="0"/>
        <w:jc w:val="both"/>
      </w:pPr>
    </w:p>
    <w:p w14:paraId="7396FF00" w14:textId="58CB3A6E" w:rsidR="00AE3A8B" w:rsidRDefault="00AE3A8B" w:rsidP="007B33C8">
      <w:pPr>
        <w:pStyle w:val="BodyText"/>
        <w:jc w:val="both"/>
      </w:pPr>
      <w:r>
        <w:t xml:space="preserve">The claims described in this instruction are sometimes erroneously described as causes of action for unjust enrichment or restitution.  Restitution and unjust enrichment are not </w:t>
      </w:r>
      <w:proofErr w:type="gramStart"/>
      <w:r>
        <w:t>causes</w:t>
      </w:r>
      <w:proofErr w:type="gramEnd"/>
      <w:r>
        <w:t xml:space="preserve"> of action.  Restitution is a remedy, and unjust enrichment is a prerequisite to this remedy. </w:t>
      </w:r>
      <w:r w:rsidR="007B33C8">
        <w:t xml:space="preserve"> </w:t>
      </w:r>
      <w:r w:rsidRPr="002E5629">
        <w:rPr>
          <w:i/>
          <w:iCs/>
        </w:rPr>
        <w:t>Alaska Sales</w:t>
      </w:r>
      <w:r>
        <w:t xml:space="preserve">, 735 P.2d at 746. </w:t>
      </w:r>
    </w:p>
    <w:sectPr w:rsidR="00AE3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FD893" w14:textId="77777777" w:rsidR="00E87957" w:rsidRPr="002E20DC" w:rsidRDefault="00E87957" w:rsidP="00AE5A8A">
      <w:r w:rsidRPr="002E20DC">
        <w:separator/>
      </w:r>
    </w:p>
  </w:endnote>
  <w:endnote w:type="continuationSeparator" w:id="0">
    <w:p w14:paraId="51BD23AD" w14:textId="77777777" w:rsidR="00E87957" w:rsidRPr="002E20DC" w:rsidRDefault="00E87957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7EA0" w14:textId="3F9C9B7B" w:rsidR="00AE3A8B" w:rsidRDefault="00AE3A8B">
    <w:pPr>
      <w:pStyle w:val="DocID"/>
    </w:pPr>
    <w:bookmarkStart w:id="1" w:name="_iDocIDField7599f261-9b33-49c8-b80b-938a"/>
    <w:r>
      <w:rPr>
        <w:noProof/>
      </w:rPr>
      <w:t>154117049.1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86A0" w14:textId="440C4CEF" w:rsidR="00AE3A8B" w:rsidRPr="007B33C8" w:rsidRDefault="007B33C8">
    <w:pPr>
      <w:pStyle w:val="DocID"/>
      <w:rPr>
        <w:sz w:val="20"/>
      </w:rPr>
    </w:pPr>
    <w:r w:rsidRPr="007B33C8">
      <w:rPr>
        <w:sz w:val="20"/>
      </w:rPr>
      <w:t>Revised 2022</w:t>
    </w:r>
    <w:r w:rsidRPr="007B33C8">
      <w:rPr>
        <w:sz w:val="20"/>
      </w:rPr>
      <w:ptab w:relativeTo="margin" w:alignment="center" w:leader="none"/>
    </w:r>
    <w:r w:rsidRPr="007B33C8">
      <w:rPr>
        <w:sz w:val="20"/>
      </w:rPr>
      <w:t>24.12C</w:t>
    </w:r>
    <w:r w:rsidRPr="007B33C8">
      <w:rPr>
        <w:sz w:val="20"/>
      </w:rPr>
      <w:ptab w:relativeTo="margin" w:alignment="right" w:leader="none"/>
    </w:r>
    <w:r w:rsidRPr="007B33C8">
      <w:rPr>
        <w:sz w:val="20"/>
      </w:rPr>
      <w:fldChar w:fldCharType="begin"/>
    </w:r>
    <w:r w:rsidRPr="007B33C8">
      <w:rPr>
        <w:sz w:val="20"/>
      </w:rPr>
      <w:instrText xml:space="preserve"> PAGE   \* MERGEFORMAT </w:instrText>
    </w:r>
    <w:r w:rsidRPr="007B33C8">
      <w:rPr>
        <w:sz w:val="20"/>
      </w:rPr>
      <w:fldChar w:fldCharType="separate"/>
    </w:r>
    <w:r w:rsidRPr="007B33C8">
      <w:rPr>
        <w:noProof/>
        <w:sz w:val="20"/>
      </w:rPr>
      <w:t>1</w:t>
    </w:r>
    <w:r w:rsidRPr="007B33C8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A9A7" w14:textId="3DDF32EA" w:rsidR="00AE3A8B" w:rsidRDefault="00AE3A8B">
    <w:pPr>
      <w:pStyle w:val="DocID"/>
    </w:pPr>
    <w:bookmarkStart w:id="2" w:name="_iDocIDField8170c91d-c9ad-4efb-af3b-b81f"/>
    <w:r>
      <w:rPr>
        <w:noProof/>
      </w:rPr>
      <w:t>154117049.1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2D9DB" w14:textId="77777777" w:rsidR="00E87957" w:rsidRPr="002E20DC" w:rsidRDefault="00E87957" w:rsidP="00AE5A8A">
      <w:r w:rsidRPr="002E20DC">
        <w:separator/>
      </w:r>
    </w:p>
  </w:footnote>
  <w:footnote w:type="continuationSeparator" w:id="0">
    <w:p w14:paraId="0F87FF50" w14:textId="77777777" w:rsidR="00E87957" w:rsidRPr="002E20DC" w:rsidRDefault="00E87957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E8FD1" w14:textId="77777777" w:rsidR="00346881" w:rsidRDefault="00346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4FED7" w14:textId="1E8EF8D3" w:rsidR="00AE3A8B" w:rsidRDefault="00AE3A8B" w:rsidP="002156A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E0E8" w14:textId="77777777" w:rsidR="00346881" w:rsidRDefault="00346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29CE"/>
    <w:multiLevelType w:val="hybridMultilevel"/>
    <w:tmpl w:val="D8DE4360"/>
    <w:lvl w:ilvl="0" w:tplc="A182A3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B651C"/>
    <w:multiLevelType w:val="hybridMultilevel"/>
    <w:tmpl w:val="F2949D50"/>
    <w:lvl w:ilvl="0" w:tplc="D4E4B36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ED"/>
    <w:rsid w:val="00050EC4"/>
    <w:rsid w:val="0006143A"/>
    <w:rsid w:val="00064EA4"/>
    <w:rsid w:val="000D0393"/>
    <w:rsid w:val="0010083E"/>
    <w:rsid w:val="0012237F"/>
    <w:rsid w:val="00126415"/>
    <w:rsid w:val="00147A0E"/>
    <w:rsid w:val="001751F1"/>
    <w:rsid w:val="002017F1"/>
    <w:rsid w:val="002156AB"/>
    <w:rsid w:val="00235CD4"/>
    <w:rsid w:val="0028695C"/>
    <w:rsid w:val="002A47D1"/>
    <w:rsid w:val="002B4BA2"/>
    <w:rsid w:val="002D4589"/>
    <w:rsid w:val="002E20DC"/>
    <w:rsid w:val="002E2657"/>
    <w:rsid w:val="002E5629"/>
    <w:rsid w:val="002F546D"/>
    <w:rsid w:val="003246A3"/>
    <w:rsid w:val="00346881"/>
    <w:rsid w:val="0035011C"/>
    <w:rsid w:val="00355B96"/>
    <w:rsid w:val="003710C7"/>
    <w:rsid w:val="00383F2B"/>
    <w:rsid w:val="003E2CB7"/>
    <w:rsid w:val="0047717E"/>
    <w:rsid w:val="00480ADC"/>
    <w:rsid w:val="00490782"/>
    <w:rsid w:val="00497193"/>
    <w:rsid w:val="00516970"/>
    <w:rsid w:val="0053799C"/>
    <w:rsid w:val="005929C4"/>
    <w:rsid w:val="00614CD0"/>
    <w:rsid w:val="00645368"/>
    <w:rsid w:val="006830B0"/>
    <w:rsid w:val="00704DAE"/>
    <w:rsid w:val="00722760"/>
    <w:rsid w:val="00782C97"/>
    <w:rsid w:val="0079783B"/>
    <w:rsid w:val="007B33C8"/>
    <w:rsid w:val="008372F6"/>
    <w:rsid w:val="0091266A"/>
    <w:rsid w:val="009244ED"/>
    <w:rsid w:val="00935992"/>
    <w:rsid w:val="00A4629D"/>
    <w:rsid w:val="00A61ED0"/>
    <w:rsid w:val="00AE3A8B"/>
    <w:rsid w:val="00AE5A8A"/>
    <w:rsid w:val="00AF5030"/>
    <w:rsid w:val="00BB574B"/>
    <w:rsid w:val="00C35440"/>
    <w:rsid w:val="00C36806"/>
    <w:rsid w:val="00C86381"/>
    <w:rsid w:val="00CB3320"/>
    <w:rsid w:val="00D93C71"/>
    <w:rsid w:val="00DB2650"/>
    <w:rsid w:val="00E5350C"/>
    <w:rsid w:val="00E6545D"/>
    <w:rsid w:val="00E734F6"/>
    <w:rsid w:val="00E87957"/>
    <w:rsid w:val="00EF1263"/>
    <w:rsid w:val="00F33D99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957CFF"/>
  <w15:chartTrackingRefBased/>
  <w15:docId w15:val="{DCCB2A9E-88D6-4CBB-A30A-49E4DE03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4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BB574B"/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AF5030"/>
    <w:pPr>
      <w:keepNext/>
      <w:keepLines/>
      <w:spacing w:before="200"/>
      <w:outlineLvl w:val="1"/>
    </w:pPr>
    <w:rPr>
      <w:rFonts w:eastAsia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AF5030"/>
    <w:pPr>
      <w:keepNext/>
      <w:keepLines/>
      <w:spacing w:before="200"/>
      <w:outlineLvl w:val="2"/>
    </w:pPr>
    <w:rPr>
      <w:rFonts w:eastAsia="Times New Roman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link w:val="BodyTextContinuedChar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semiHidden/>
    <w:qFormat/>
    <w:rsid w:val="00AF5030"/>
    <w:pPr>
      <w:ind w:left="720"/>
    </w:pPr>
  </w:style>
  <w:style w:type="paragraph" w:customStyle="1" w:styleId="Table">
    <w:name w:val="Table"/>
    <w:basedOn w:val="Normal"/>
    <w:uiPriority w:val="19"/>
    <w:qFormat/>
    <w:rsid w:val="00AF5030"/>
    <w:pPr>
      <w:spacing w:before="60" w:after="60" w:line="240" w:lineRule="exact"/>
    </w:pPr>
    <w:rPr>
      <w:rFonts w:eastAsia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semiHidden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semiHidden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74B"/>
  </w:style>
  <w:style w:type="paragraph" w:styleId="Footer">
    <w:name w:val="footer"/>
    <w:basedOn w:val="Normal"/>
    <w:link w:val="FooterChar"/>
    <w:uiPriority w:val="99"/>
    <w:semiHidden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paragraph" w:customStyle="1" w:styleId="DocID">
    <w:name w:val="DocID"/>
    <w:basedOn w:val="Footer"/>
    <w:next w:val="Footer"/>
    <w:link w:val="DocIDChar"/>
    <w:rsid w:val="00AE3A8B"/>
    <w:pPr>
      <w:tabs>
        <w:tab w:val="clear" w:pos="4680"/>
        <w:tab w:val="clear" w:pos="9360"/>
      </w:tabs>
    </w:pPr>
    <w:rPr>
      <w:rFonts w:eastAsia="Times New Roman"/>
      <w:sz w:val="16"/>
      <w:szCs w:val="20"/>
    </w:rPr>
  </w:style>
  <w:style w:type="character" w:customStyle="1" w:styleId="BodyTextContinuedChar">
    <w:name w:val="Body Text Continued Char"/>
    <w:basedOn w:val="BodyTextChar"/>
    <w:link w:val="BodyTextContinued"/>
    <w:uiPriority w:val="14"/>
    <w:rsid w:val="00AE3A8B"/>
    <w:rPr>
      <w:rFonts w:eastAsia="Times New Roman" w:cs="Times New Roman"/>
      <w:szCs w:val="20"/>
    </w:rPr>
  </w:style>
  <w:style w:type="character" w:customStyle="1" w:styleId="DocIDChar">
    <w:name w:val="DocID Char"/>
    <w:basedOn w:val="BodyTextContinuedChar"/>
    <w:link w:val="DocID"/>
    <w:rsid w:val="00AE3A8B"/>
    <w:rPr>
      <w:rFonts w:eastAsia="Times New Roman" w:cs="Times New Roman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4</cp:revision>
  <dcterms:created xsi:type="dcterms:W3CDTF">2022-05-18T21:43:00Z</dcterms:created>
  <dcterms:modified xsi:type="dcterms:W3CDTF">2022-07-26T16:00:00Z</dcterms:modified>
</cp:coreProperties>
</file>