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0060BE" w14:textId="68629CF1" w:rsidR="007371A5" w:rsidRPr="003A6D4B" w:rsidRDefault="007371A5" w:rsidP="00CC2D9F">
      <w:pPr>
        <w:tabs>
          <w:tab w:val="center" w:pos="4680"/>
        </w:tabs>
        <w:ind w:left="1170" w:hanging="1170"/>
        <w:rPr>
          <w:b/>
          <w:bCs/>
          <w:sz w:val="28"/>
          <w:szCs w:val="28"/>
        </w:rPr>
      </w:pPr>
      <w:r w:rsidRPr="003A6D4B">
        <w:rPr>
          <w:b/>
          <w:bCs/>
          <w:sz w:val="28"/>
          <w:szCs w:val="28"/>
        </w:rPr>
        <w:t xml:space="preserve">24.15A </w:t>
      </w:r>
      <w:r w:rsidR="00CC2D9F">
        <w:rPr>
          <w:b/>
          <w:bCs/>
          <w:sz w:val="28"/>
          <w:szCs w:val="28"/>
        </w:rPr>
        <w:tab/>
      </w:r>
      <w:r w:rsidR="00CC2D9F">
        <w:rPr>
          <w:b/>
          <w:bCs/>
          <w:sz w:val="28"/>
          <w:szCs w:val="28"/>
        </w:rPr>
        <w:tab/>
      </w:r>
      <w:r w:rsidRPr="003A6D4B">
        <w:rPr>
          <w:b/>
          <w:bCs/>
          <w:sz w:val="28"/>
          <w:szCs w:val="28"/>
        </w:rPr>
        <w:t>BREACH OF COVENANT OF GOOD FAITH AND FAIR DEALING – COMMERCIAL TRANSACTIONS</w:t>
      </w:r>
    </w:p>
    <w:p w14:paraId="5F8C3436" w14:textId="77777777" w:rsidR="007371A5" w:rsidRPr="003A6D4B" w:rsidRDefault="007371A5" w:rsidP="000E2666">
      <w:pPr>
        <w:tabs>
          <w:tab w:val="center" w:pos="4680"/>
        </w:tabs>
        <w:spacing w:line="360" w:lineRule="auto"/>
        <w:ind w:left="1170" w:hanging="1170"/>
        <w:rPr>
          <w:b/>
          <w:bCs/>
          <w:sz w:val="28"/>
          <w:szCs w:val="28"/>
        </w:rPr>
      </w:pPr>
    </w:p>
    <w:p w14:paraId="614C176C" w14:textId="4F3807E3" w:rsidR="007371A5" w:rsidRPr="003A6D4B" w:rsidRDefault="007371A5" w:rsidP="000E2666">
      <w:pPr>
        <w:spacing w:line="360" w:lineRule="auto"/>
        <w:jc w:val="both"/>
        <w:rPr>
          <w:sz w:val="28"/>
          <w:szCs w:val="28"/>
        </w:rPr>
      </w:pPr>
      <w:r w:rsidRPr="003A6D4B">
        <w:rPr>
          <w:sz w:val="28"/>
          <w:szCs w:val="28"/>
        </w:rPr>
        <w:t>In every contract, there is an implied promise of good faith and fair dealing.  This means that each party promises not to do anything to destroy or injure the right of the other party to receive the benefits of the contract.  However, the implied promise of good faith and fair dealing does not modify the express terms of the contract by adding terms to the contract or prohibiting what the contract explicitly permits.</w:t>
      </w:r>
    </w:p>
    <w:p w14:paraId="3F2B8591" w14:textId="77777777" w:rsidR="007371A5" w:rsidRPr="003A6D4B" w:rsidRDefault="007371A5" w:rsidP="000E2666">
      <w:pPr>
        <w:spacing w:line="360" w:lineRule="auto"/>
        <w:jc w:val="both"/>
        <w:rPr>
          <w:sz w:val="28"/>
          <w:szCs w:val="28"/>
        </w:rPr>
      </w:pPr>
    </w:p>
    <w:p w14:paraId="03AFE4C5" w14:textId="2B0E0798" w:rsidR="007371A5" w:rsidRDefault="007371A5" w:rsidP="000E2666">
      <w:pPr>
        <w:spacing w:line="360" w:lineRule="auto"/>
        <w:jc w:val="both"/>
        <w:rPr>
          <w:sz w:val="28"/>
          <w:szCs w:val="28"/>
        </w:rPr>
      </w:pPr>
      <w:r w:rsidRPr="003A6D4B">
        <w:rPr>
          <w:sz w:val="28"/>
          <w:szCs w:val="28"/>
        </w:rPr>
        <w:t>[</w:t>
      </w:r>
      <w:r w:rsidR="00E372F4">
        <w:rPr>
          <w:sz w:val="28"/>
          <w:szCs w:val="28"/>
        </w:rPr>
        <w:t>Defendant</w:t>
      </w:r>
      <w:r w:rsidRPr="003A6D4B">
        <w:rPr>
          <w:sz w:val="28"/>
          <w:szCs w:val="28"/>
        </w:rPr>
        <w:t xml:space="preserve">] </w:t>
      </w:r>
      <w:r w:rsidR="00E372F4">
        <w:rPr>
          <w:sz w:val="28"/>
          <w:szCs w:val="28"/>
        </w:rPr>
        <w:t>breached</w:t>
      </w:r>
      <w:r w:rsidRPr="003A6D4B">
        <w:rPr>
          <w:sz w:val="28"/>
          <w:szCs w:val="28"/>
        </w:rPr>
        <w:t xml:space="preserve"> the implied promise of good faith and fair dealing if you find that it is more likely true than not true that</w:t>
      </w:r>
      <w:r w:rsidR="00C30D45">
        <w:rPr>
          <w:sz w:val="28"/>
          <w:szCs w:val="28"/>
        </w:rPr>
        <w:t>:</w:t>
      </w:r>
    </w:p>
    <w:p w14:paraId="0BB2E8CD" w14:textId="77777777" w:rsidR="000E2666" w:rsidRPr="003A6D4B" w:rsidRDefault="000E2666" w:rsidP="000E2666">
      <w:pPr>
        <w:spacing w:line="360" w:lineRule="auto"/>
        <w:jc w:val="both"/>
        <w:rPr>
          <w:sz w:val="28"/>
          <w:szCs w:val="28"/>
        </w:rPr>
      </w:pPr>
    </w:p>
    <w:p w14:paraId="61A3008E" w14:textId="22F28EAD" w:rsidR="000E2666" w:rsidRPr="00D41A8F" w:rsidRDefault="00C30D45" w:rsidP="00D41A8F">
      <w:pPr>
        <w:pStyle w:val="ListParagraph"/>
        <w:numPr>
          <w:ilvl w:val="0"/>
          <w:numId w:val="1"/>
        </w:numPr>
        <w:spacing w:line="360" w:lineRule="auto"/>
        <w:jc w:val="both"/>
        <w:rPr>
          <w:sz w:val="28"/>
          <w:szCs w:val="28"/>
        </w:rPr>
      </w:pPr>
      <w:r>
        <w:rPr>
          <w:sz w:val="28"/>
          <w:szCs w:val="28"/>
        </w:rPr>
        <w:t>[Defendant] i</w:t>
      </w:r>
      <w:r w:rsidR="007371A5" w:rsidRPr="000E2666">
        <w:rPr>
          <w:sz w:val="28"/>
          <w:szCs w:val="28"/>
        </w:rPr>
        <w:t>ntentionally deprived [Plaintiff] of a benefit of the contract; or</w:t>
      </w:r>
    </w:p>
    <w:p w14:paraId="1A1E129C" w14:textId="4E5840F6" w:rsidR="007371A5" w:rsidRPr="000E2666" w:rsidRDefault="00C30D45" w:rsidP="000E2666">
      <w:pPr>
        <w:pStyle w:val="ListParagraph"/>
        <w:numPr>
          <w:ilvl w:val="0"/>
          <w:numId w:val="1"/>
        </w:numPr>
        <w:spacing w:line="360" w:lineRule="auto"/>
        <w:jc w:val="both"/>
        <w:rPr>
          <w:sz w:val="28"/>
          <w:szCs w:val="28"/>
        </w:rPr>
      </w:pPr>
      <w:r>
        <w:rPr>
          <w:sz w:val="28"/>
          <w:szCs w:val="28"/>
        </w:rPr>
        <w:t>[Defendant] d</w:t>
      </w:r>
      <w:r w:rsidR="000E2666" w:rsidRPr="003A6D4B">
        <w:rPr>
          <w:sz w:val="28"/>
          <w:szCs w:val="28"/>
        </w:rPr>
        <w:t>eprived [Plaintiff] of a benefit of the contract by acting in a manner that</w:t>
      </w:r>
      <w:r w:rsidR="000E2666">
        <w:rPr>
          <w:sz w:val="28"/>
          <w:szCs w:val="28"/>
        </w:rPr>
        <w:t xml:space="preserve"> </w:t>
      </w:r>
      <w:r w:rsidR="007371A5" w:rsidRPr="000E2666">
        <w:rPr>
          <w:sz w:val="28"/>
          <w:szCs w:val="28"/>
        </w:rPr>
        <w:t>a reasonable person would regard as unfair.</w:t>
      </w:r>
      <w:bookmarkStart w:id="0" w:name="SR;4400"/>
      <w:bookmarkStart w:id="1" w:name="SR;4403"/>
      <w:bookmarkStart w:id="2" w:name="HN;F7"/>
      <w:bookmarkStart w:id="3" w:name="HN;F8"/>
      <w:bookmarkStart w:id="4" w:name="HN;F9"/>
      <w:bookmarkStart w:id="5" w:name="HN;F10"/>
      <w:bookmarkStart w:id="6" w:name="HN;F11"/>
      <w:bookmarkStart w:id="7" w:name="HN;F12"/>
      <w:bookmarkStart w:id="8" w:name="SR;4429"/>
      <w:bookmarkStart w:id="9" w:name="SR;4432"/>
      <w:bookmarkStart w:id="10" w:name="FN;B01111"/>
      <w:bookmarkStart w:id="11" w:name="SR;4445"/>
      <w:bookmarkStart w:id="12" w:name="SR;4448"/>
      <w:bookmarkStart w:id="13" w:name="FN;B01212"/>
      <w:bookmarkStart w:id="14" w:name="SR;4458"/>
      <w:bookmarkStart w:id="15" w:name="FN;B01313"/>
      <w:bookmarkStart w:id="16" w:name="SR;4473"/>
      <w:bookmarkStart w:id="17" w:name="FN;B01414"/>
      <w:bookmarkStart w:id="18" w:name="FN;B01515"/>
      <w:bookmarkStart w:id="19" w:name="FN;B01616"/>
      <w:bookmarkStart w:id="20" w:name="FN;B01717"/>
      <w:bookmarkStart w:id="21" w:name="FN;B01818"/>
      <w:bookmarkStart w:id="22" w:name="FN;B01919"/>
      <w:bookmarkStart w:id="23" w:name="FN;B02424"/>
      <w:bookmarkStart w:id="24" w:name="FN;B02525"/>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2379C325" w14:textId="77777777" w:rsidR="007371A5" w:rsidRPr="003A6D4B" w:rsidRDefault="007371A5" w:rsidP="000E2666">
      <w:pPr>
        <w:spacing w:line="360" w:lineRule="auto"/>
        <w:jc w:val="both"/>
        <w:rPr>
          <w:sz w:val="28"/>
          <w:szCs w:val="28"/>
        </w:rPr>
      </w:pPr>
    </w:p>
    <w:p w14:paraId="11403098" w14:textId="029E7CEA" w:rsidR="007371A5" w:rsidRDefault="007371A5" w:rsidP="000E2666">
      <w:pPr>
        <w:tabs>
          <w:tab w:val="center" w:pos="4680"/>
        </w:tabs>
        <w:jc w:val="both"/>
        <w:rPr>
          <w:b/>
          <w:sz w:val="28"/>
          <w:szCs w:val="28"/>
          <w:u w:val="single"/>
        </w:rPr>
      </w:pPr>
      <w:r w:rsidRPr="003A6D4B">
        <w:rPr>
          <w:sz w:val="28"/>
          <w:szCs w:val="28"/>
        </w:rPr>
        <w:tab/>
      </w:r>
      <w:r w:rsidRPr="000E2666">
        <w:rPr>
          <w:b/>
          <w:sz w:val="28"/>
          <w:szCs w:val="28"/>
          <w:u w:val="single"/>
        </w:rPr>
        <w:t>Use Note</w:t>
      </w:r>
    </w:p>
    <w:p w14:paraId="152AE099" w14:textId="77777777" w:rsidR="000E2666" w:rsidRPr="000E2666" w:rsidRDefault="000E2666" w:rsidP="000E2666">
      <w:pPr>
        <w:tabs>
          <w:tab w:val="center" w:pos="4680"/>
        </w:tabs>
        <w:jc w:val="both"/>
        <w:rPr>
          <w:b/>
          <w:sz w:val="28"/>
          <w:szCs w:val="28"/>
          <w:u w:val="single"/>
        </w:rPr>
      </w:pPr>
    </w:p>
    <w:p w14:paraId="6694FC00" w14:textId="14BD6DEB" w:rsidR="007371A5" w:rsidRPr="003A6D4B" w:rsidRDefault="007371A5" w:rsidP="000E2666">
      <w:pPr>
        <w:jc w:val="both"/>
        <w:rPr>
          <w:sz w:val="28"/>
          <w:szCs w:val="28"/>
        </w:rPr>
      </w:pPr>
      <w:r w:rsidRPr="003A6D4B">
        <w:rPr>
          <w:sz w:val="28"/>
          <w:szCs w:val="28"/>
        </w:rPr>
        <w:t xml:space="preserve">This instruction should be given when the plaintiff </w:t>
      </w:r>
      <w:r w:rsidR="00A345C6">
        <w:rPr>
          <w:sz w:val="28"/>
          <w:szCs w:val="28"/>
        </w:rPr>
        <w:t>claims that the defendant breached</w:t>
      </w:r>
      <w:r w:rsidRPr="003A6D4B">
        <w:rPr>
          <w:sz w:val="28"/>
          <w:szCs w:val="28"/>
        </w:rPr>
        <w:t xml:space="preserve"> the covenant of good faith and fair dealing in a non-employment context.  </w:t>
      </w:r>
      <w:r w:rsidR="00A345C6">
        <w:rPr>
          <w:sz w:val="28"/>
          <w:szCs w:val="28"/>
        </w:rPr>
        <w:t>For employment contracts, use Instruction 24.15B.</w:t>
      </w:r>
    </w:p>
    <w:p w14:paraId="7C948275" w14:textId="77777777" w:rsidR="007371A5" w:rsidRPr="003A6D4B" w:rsidRDefault="007371A5" w:rsidP="000E2666">
      <w:pPr>
        <w:jc w:val="both"/>
        <w:rPr>
          <w:sz w:val="28"/>
          <w:szCs w:val="28"/>
        </w:rPr>
      </w:pPr>
    </w:p>
    <w:p w14:paraId="5890F601" w14:textId="77790682" w:rsidR="00C30D45" w:rsidRDefault="00C30D45" w:rsidP="000E2666">
      <w:pPr>
        <w:jc w:val="both"/>
        <w:rPr>
          <w:sz w:val="28"/>
          <w:szCs w:val="28"/>
        </w:rPr>
      </w:pPr>
      <w:r>
        <w:rPr>
          <w:sz w:val="28"/>
          <w:szCs w:val="28"/>
        </w:rPr>
        <w:t>This instruction should be given along with Instructions 24.00A or 24.00B</w:t>
      </w:r>
      <w:r w:rsidR="00765796">
        <w:rPr>
          <w:sz w:val="28"/>
          <w:szCs w:val="28"/>
        </w:rPr>
        <w:t xml:space="preserve"> [Elements]</w:t>
      </w:r>
      <w:r>
        <w:rPr>
          <w:sz w:val="28"/>
          <w:szCs w:val="28"/>
        </w:rPr>
        <w:t xml:space="preserve">, </w:t>
      </w:r>
      <w:r w:rsidR="00765796">
        <w:rPr>
          <w:sz w:val="28"/>
          <w:szCs w:val="28"/>
        </w:rPr>
        <w:t>Instruction 24.03 [Breach], and appropriate instructions on damages, including 24.09A (Expectation Damages], 24.09H (Reliance Damages)</w:t>
      </w:r>
      <w:r w:rsidR="005539E6">
        <w:rPr>
          <w:sz w:val="28"/>
          <w:szCs w:val="28"/>
        </w:rPr>
        <w:t>,</w:t>
      </w:r>
      <w:r w:rsidR="00765796">
        <w:rPr>
          <w:sz w:val="28"/>
          <w:szCs w:val="28"/>
        </w:rPr>
        <w:t xml:space="preserve"> and</w:t>
      </w:r>
      <w:r w:rsidR="00652290">
        <w:rPr>
          <w:sz w:val="28"/>
          <w:szCs w:val="28"/>
        </w:rPr>
        <w:t>/or</w:t>
      </w:r>
      <w:r w:rsidR="00765796">
        <w:rPr>
          <w:sz w:val="28"/>
          <w:szCs w:val="28"/>
        </w:rPr>
        <w:t xml:space="preserve"> 24.11 (Nominal Damages).</w:t>
      </w:r>
    </w:p>
    <w:p w14:paraId="0547B70E" w14:textId="2E2BC43E" w:rsidR="007371A5" w:rsidRPr="003A6D4B" w:rsidRDefault="007371A5" w:rsidP="000E2666">
      <w:pPr>
        <w:jc w:val="both"/>
        <w:rPr>
          <w:sz w:val="28"/>
          <w:szCs w:val="28"/>
        </w:rPr>
      </w:pPr>
    </w:p>
    <w:p w14:paraId="2B463907" w14:textId="77777777" w:rsidR="007371A5" w:rsidRPr="003A6D4B" w:rsidRDefault="007371A5" w:rsidP="007371A5">
      <w:pPr>
        <w:jc w:val="both"/>
        <w:rPr>
          <w:sz w:val="28"/>
          <w:szCs w:val="28"/>
        </w:rPr>
      </w:pPr>
    </w:p>
    <w:p w14:paraId="40068A13" w14:textId="13163C07" w:rsidR="007371A5" w:rsidRDefault="007371A5" w:rsidP="00D41A8F">
      <w:pPr>
        <w:tabs>
          <w:tab w:val="center" w:pos="4680"/>
        </w:tabs>
        <w:jc w:val="both"/>
        <w:rPr>
          <w:b/>
          <w:sz w:val="28"/>
          <w:szCs w:val="28"/>
          <w:u w:val="single"/>
        </w:rPr>
      </w:pPr>
      <w:r w:rsidRPr="003A6D4B">
        <w:rPr>
          <w:sz w:val="28"/>
          <w:szCs w:val="28"/>
        </w:rPr>
        <w:tab/>
      </w:r>
      <w:r w:rsidRPr="000E2666">
        <w:rPr>
          <w:b/>
          <w:sz w:val="28"/>
          <w:szCs w:val="28"/>
          <w:u w:val="single"/>
        </w:rPr>
        <w:t>Comment</w:t>
      </w:r>
    </w:p>
    <w:p w14:paraId="57099BFA" w14:textId="77777777" w:rsidR="00D41A8F" w:rsidRPr="000E2666" w:rsidRDefault="00D41A8F" w:rsidP="00D41A8F">
      <w:pPr>
        <w:tabs>
          <w:tab w:val="center" w:pos="4680"/>
        </w:tabs>
        <w:jc w:val="both"/>
        <w:rPr>
          <w:b/>
          <w:sz w:val="28"/>
          <w:szCs w:val="28"/>
          <w:u w:val="single"/>
        </w:rPr>
      </w:pPr>
    </w:p>
    <w:p w14:paraId="55EBCE26" w14:textId="2977030A" w:rsidR="007371A5" w:rsidRPr="003A6D4B" w:rsidRDefault="007371A5" w:rsidP="007371A5">
      <w:pPr>
        <w:jc w:val="both"/>
        <w:rPr>
          <w:sz w:val="28"/>
          <w:szCs w:val="28"/>
        </w:rPr>
      </w:pPr>
      <w:r w:rsidRPr="003A6D4B">
        <w:rPr>
          <w:sz w:val="28"/>
          <w:szCs w:val="28"/>
        </w:rPr>
        <w:t xml:space="preserve">The covenant of good faith and fair dealing is implied in all contracts.  </w:t>
      </w:r>
      <w:proofErr w:type="spellStart"/>
      <w:r w:rsidRPr="003A6D4B">
        <w:rPr>
          <w:i/>
          <w:iCs/>
          <w:sz w:val="28"/>
          <w:szCs w:val="28"/>
        </w:rPr>
        <w:t>Laybourn</w:t>
      </w:r>
      <w:proofErr w:type="spellEnd"/>
      <w:r w:rsidRPr="003A6D4B">
        <w:rPr>
          <w:i/>
          <w:iCs/>
          <w:sz w:val="28"/>
          <w:szCs w:val="28"/>
        </w:rPr>
        <w:t xml:space="preserve"> v. </w:t>
      </w:r>
      <w:r w:rsidRPr="003A6D4B">
        <w:rPr>
          <w:i/>
          <w:iCs/>
          <w:sz w:val="28"/>
          <w:szCs w:val="28"/>
        </w:rPr>
        <w:lastRenderedPageBreak/>
        <w:t>City of Wasilla</w:t>
      </w:r>
      <w:r w:rsidRPr="003A6D4B">
        <w:rPr>
          <w:sz w:val="28"/>
          <w:szCs w:val="28"/>
        </w:rPr>
        <w:t xml:space="preserve">, 362 P.3d 447, 457 (Alaska 2015) (citing </w:t>
      </w:r>
      <w:r w:rsidRPr="003A6D4B">
        <w:rPr>
          <w:i/>
          <w:iCs/>
          <w:sz w:val="28"/>
          <w:szCs w:val="28"/>
        </w:rPr>
        <w:t xml:space="preserve">Anchorage Chrysler Ctr. v. DaimlerChrysler Motors Corp., </w:t>
      </w:r>
      <w:r w:rsidRPr="003A6D4B">
        <w:rPr>
          <w:sz w:val="28"/>
          <w:szCs w:val="28"/>
        </w:rPr>
        <w:t xml:space="preserve">221 P.3d 977, 992 (Alaska 2009)).  “The covenant requires that neither party will do anything which will injure the right of the other to receive the benefits of the agreement.” </w:t>
      </w:r>
      <w:r w:rsidR="000E2666">
        <w:rPr>
          <w:sz w:val="28"/>
          <w:szCs w:val="28"/>
        </w:rPr>
        <w:t xml:space="preserve"> </w:t>
      </w:r>
      <w:r w:rsidRPr="003A6D4B">
        <w:rPr>
          <w:i/>
          <w:iCs/>
          <w:sz w:val="28"/>
          <w:szCs w:val="28"/>
        </w:rPr>
        <w:t xml:space="preserve">Jackson v. Am. Equity Ins. Co., </w:t>
      </w:r>
      <w:r w:rsidRPr="003A6D4B">
        <w:rPr>
          <w:sz w:val="28"/>
          <w:szCs w:val="28"/>
        </w:rPr>
        <w:t xml:space="preserve">90 P.3d 136, 142 (Alaska 2004) (quoting </w:t>
      </w:r>
      <w:proofErr w:type="spellStart"/>
      <w:r w:rsidRPr="003A6D4B">
        <w:rPr>
          <w:i/>
          <w:iCs/>
          <w:sz w:val="28"/>
          <w:szCs w:val="28"/>
        </w:rPr>
        <w:t>Guin</w:t>
      </w:r>
      <w:proofErr w:type="spellEnd"/>
      <w:r w:rsidRPr="003A6D4B">
        <w:rPr>
          <w:i/>
          <w:iCs/>
          <w:sz w:val="28"/>
          <w:szCs w:val="28"/>
        </w:rPr>
        <w:t xml:space="preserve"> v. Ha, </w:t>
      </w:r>
      <w:r w:rsidRPr="003A6D4B">
        <w:rPr>
          <w:sz w:val="28"/>
          <w:szCs w:val="28"/>
        </w:rPr>
        <w:t xml:space="preserve">591 P.2d 1281,1291 (Alaska 1979)). </w:t>
      </w:r>
    </w:p>
    <w:p w14:paraId="52505A13" w14:textId="77777777" w:rsidR="007371A5" w:rsidRPr="003A6D4B" w:rsidRDefault="007371A5" w:rsidP="007371A5">
      <w:pPr>
        <w:jc w:val="both"/>
        <w:rPr>
          <w:sz w:val="28"/>
          <w:szCs w:val="28"/>
        </w:rPr>
      </w:pPr>
    </w:p>
    <w:p w14:paraId="6F9C75AC" w14:textId="28F711EA" w:rsidR="007371A5" w:rsidRPr="003A6D4B" w:rsidRDefault="007371A5" w:rsidP="007371A5">
      <w:pPr>
        <w:jc w:val="both"/>
        <w:rPr>
          <w:sz w:val="28"/>
          <w:szCs w:val="28"/>
        </w:rPr>
      </w:pPr>
      <w:r w:rsidRPr="003A6D4B">
        <w:rPr>
          <w:sz w:val="28"/>
          <w:szCs w:val="28"/>
        </w:rPr>
        <w:t xml:space="preserve">“The covenant’s purpose ‘is to effectuate the reasonable expectations of the parties, not to alter or add terms to the contracts,’ and ‘it will not create a duty where one does not exist.’” </w:t>
      </w:r>
      <w:r w:rsidR="000E2666">
        <w:rPr>
          <w:sz w:val="28"/>
          <w:szCs w:val="28"/>
        </w:rPr>
        <w:t xml:space="preserve"> </w:t>
      </w:r>
      <w:r w:rsidRPr="003A6D4B">
        <w:rPr>
          <w:i/>
          <w:iCs/>
          <w:sz w:val="28"/>
          <w:szCs w:val="28"/>
        </w:rPr>
        <w:t>Alaska Fur Gallery, Inc. v. Tok Hwang</w:t>
      </w:r>
      <w:r w:rsidRPr="003A6D4B">
        <w:rPr>
          <w:sz w:val="28"/>
          <w:szCs w:val="28"/>
        </w:rPr>
        <w:t xml:space="preserve">, 394 P.3d 511 (Alaska 2017) (quoting </w:t>
      </w:r>
      <w:r w:rsidRPr="003A6D4B">
        <w:rPr>
          <w:i/>
          <w:iCs/>
          <w:sz w:val="28"/>
          <w:szCs w:val="28"/>
        </w:rPr>
        <w:t>Witt v. State, Dep't of Corr.</w:t>
      </w:r>
      <w:r w:rsidRPr="003A6D4B">
        <w:rPr>
          <w:sz w:val="28"/>
          <w:szCs w:val="28"/>
        </w:rPr>
        <w:t xml:space="preserve">, 75 P.3d 1030, 1034 (Alaska 2003)). </w:t>
      </w:r>
    </w:p>
    <w:p w14:paraId="605B4177" w14:textId="77777777" w:rsidR="007371A5" w:rsidRPr="003A6D4B" w:rsidRDefault="007371A5" w:rsidP="007371A5">
      <w:pPr>
        <w:jc w:val="both"/>
        <w:rPr>
          <w:sz w:val="28"/>
          <w:szCs w:val="28"/>
        </w:rPr>
      </w:pPr>
    </w:p>
    <w:p w14:paraId="27EB6758" w14:textId="54CF97A3" w:rsidR="007371A5" w:rsidRPr="003A6D4B" w:rsidRDefault="007371A5" w:rsidP="007371A5">
      <w:pPr>
        <w:jc w:val="both"/>
        <w:rPr>
          <w:sz w:val="28"/>
          <w:szCs w:val="28"/>
        </w:rPr>
      </w:pPr>
      <w:r w:rsidRPr="003A6D4B">
        <w:rPr>
          <w:sz w:val="28"/>
          <w:szCs w:val="28"/>
        </w:rPr>
        <w:t xml:space="preserve">The covenant contains both objective and subjective components.  </w:t>
      </w:r>
      <w:proofErr w:type="spellStart"/>
      <w:r w:rsidRPr="003A6D4B">
        <w:rPr>
          <w:i/>
          <w:sz w:val="28"/>
          <w:szCs w:val="28"/>
        </w:rPr>
        <w:t>Hoendermis</w:t>
      </w:r>
      <w:proofErr w:type="spellEnd"/>
      <w:r w:rsidRPr="003A6D4B">
        <w:rPr>
          <w:i/>
          <w:iCs/>
          <w:sz w:val="28"/>
          <w:szCs w:val="28"/>
        </w:rPr>
        <w:t xml:space="preserve"> v. Advanced Physical Therapy, Inc.</w:t>
      </w:r>
      <w:r w:rsidRPr="003A6D4B">
        <w:rPr>
          <w:sz w:val="28"/>
          <w:szCs w:val="28"/>
        </w:rPr>
        <w:t xml:space="preserve">, 251 P.3d 346, 356 (Alaska 2011) (citing </w:t>
      </w:r>
      <w:r w:rsidRPr="003A6D4B">
        <w:rPr>
          <w:i/>
          <w:iCs/>
          <w:sz w:val="28"/>
          <w:szCs w:val="28"/>
        </w:rPr>
        <w:t xml:space="preserve">Charles v. Interior Reg'l </w:t>
      </w:r>
      <w:proofErr w:type="spellStart"/>
      <w:r w:rsidRPr="003A6D4B">
        <w:rPr>
          <w:i/>
          <w:iCs/>
          <w:sz w:val="28"/>
          <w:szCs w:val="28"/>
        </w:rPr>
        <w:t>Hous</w:t>
      </w:r>
      <w:proofErr w:type="spellEnd"/>
      <w:r w:rsidRPr="003A6D4B">
        <w:rPr>
          <w:i/>
          <w:iCs/>
          <w:sz w:val="28"/>
          <w:szCs w:val="28"/>
        </w:rPr>
        <w:t>. Auth.</w:t>
      </w:r>
      <w:r w:rsidRPr="003A6D4B">
        <w:rPr>
          <w:sz w:val="28"/>
          <w:szCs w:val="28"/>
        </w:rPr>
        <w:t xml:space="preserve">, 55 P.3d 57, 62 (Alaska 2002)). </w:t>
      </w:r>
      <w:r w:rsidR="000E2666">
        <w:rPr>
          <w:sz w:val="28"/>
          <w:szCs w:val="28"/>
        </w:rPr>
        <w:t xml:space="preserve"> </w:t>
      </w:r>
      <w:r w:rsidRPr="003A6D4B">
        <w:rPr>
          <w:sz w:val="28"/>
          <w:szCs w:val="28"/>
        </w:rPr>
        <w:t xml:space="preserve">“A party must act in subjective good faith, meaning that it cannot act to deprive the other party of the explicit benefits of the contract, and in objective good faith, which consists of acting in a manner that a reasonable person would regard as fair.”  </w:t>
      </w:r>
      <w:r w:rsidRPr="003A6D4B">
        <w:rPr>
          <w:i/>
          <w:iCs/>
          <w:sz w:val="28"/>
          <w:szCs w:val="28"/>
        </w:rPr>
        <w:t>Casey v. Semco Energy, Inc.</w:t>
      </w:r>
      <w:r w:rsidRPr="003A6D4B">
        <w:rPr>
          <w:sz w:val="28"/>
          <w:szCs w:val="28"/>
        </w:rPr>
        <w:t xml:space="preserve">, 92 P.3d 379, 384 (Alaska 2004). </w:t>
      </w:r>
      <w:r w:rsidR="000E2666">
        <w:rPr>
          <w:sz w:val="28"/>
          <w:szCs w:val="28"/>
        </w:rPr>
        <w:t xml:space="preserve"> </w:t>
      </w:r>
      <w:r w:rsidRPr="003A6D4B">
        <w:rPr>
          <w:sz w:val="28"/>
          <w:szCs w:val="28"/>
        </w:rPr>
        <w:t xml:space="preserve">‎“Bad faith may be overt or may consist of inaction, and fair dealing may require more ‎than honesty.” </w:t>
      </w:r>
      <w:r w:rsidRPr="003A6D4B">
        <w:rPr>
          <w:i/>
          <w:sz w:val="28"/>
          <w:szCs w:val="28"/>
        </w:rPr>
        <w:t>Klondike Indus. Corp. v. Gibson</w:t>
      </w:r>
      <w:r w:rsidRPr="003A6D4B">
        <w:rPr>
          <w:sz w:val="28"/>
          <w:szCs w:val="28"/>
        </w:rPr>
        <w:t xml:space="preserve">, 741 P.2d 1161, 1168 (Alaska‎ ‎1987) (quoting Restatement (Second) of Contracts § 205 </w:t>
      </w:r>
      <w:r w:rsidR="008F4BAB">
        <w:rPr>
          <w:sz w:val="28"/>
          <w:szCs w:val="28"/>
        </w:rPr>
        <w:t>comment</w:t>
      </w:r>
      <w:r w:rsidRPr="003A6D4B">
        <w:rPr>
          <w:sz w:val="28"/>
          <w:szCs w:val="28"/>
        </w:rPr>
        <w:t xml:space="preserve"> d</w:t>
      </w:r>
      <w:r w:rsidR="008F4BAB">
        <w:rPr>
          <w:sz w:val="28"/>
          <w:szCs w:val="28"/>
        </w:rPr>
        <w:t>).</w:t>
      </w:r>
    </w:p>
    <w:p w14:paraId="0CE87124" w14:textId="77777777" w:rsidR="007371A5" w:rsidRPr="003A6D4B" w:rsidRDefault="007371A5" w:rsidP="007371A5">
      <w:pPr>
        <w:jc w:val="both"/>
        <w:rPr>
          <w:sz w:val="28"/>
          <w:szCs w:val="28"/>
        </w:rPr>
      </w:pPr>
    </w:p>
    <w:p w14:paraId="4C492135" w14:textId="77777777" w:rsidR="007371A5" w:rsidRPr="003A6D4B" w:rsidRDefault="007371A5" w:rsidP="007371A5">
      <w:pPr>
        <w:jc w:val="both"/>
        <w:rPr>
          <w:sz w:val="28"/>
          <w:szCs w:val="28"/>
        </w:rPr>
      </w:pPr>
      <w:r w:rsidRPr="003A6D4B">
        <w:rPr>
          <w:sz w:val="28"/>
          <w:szCs w:val="28"/>
        </w:rPr>
        <w:t>In the context of a claim that party breached the covenant of good faith and fair dealing in connection with a right of first refusal, the Alaska Supreme Court held:</w:t>
      </w:r>
    </w:p>
    <w:p w14:paraId="2C8BD1C3" w14:textId="77777777" w:rsidR="007371A5" w:rsidRPr="003A6D4B" w:rsidRDefault="007371A5" w:rsidP="007371A5">
      <w:pPr>
        <w:jc w:val="both"/>
        <w:rPr>
          <w:sz w:val="28"/>
          <w:szCs w:val="28"/>
        </w:rPr>
      </w:pPr>
    </w:p>
    <w:p w14:paraId="0AFAE1B6" w14:textId="760317CA" w:rsidR="007371A5" w:rsidRPr="003A6D4B" w:rsidRDefault="007371A5" w:rsidP="000E2666">
      <w:pPr>
        <w:pStyle w:val="ListParagraph"/>
        <w:tabs>
          <w:tab w:val="left" w:pos="819"/>
          <w:tab w:val="left" w:pos="820"/>
        </w:tabs>
        <w:ind w:left="720" w:right="720" w:firstLine="0"/>
        <w:jc w:val="both"/>
        <w:rPr>
          <w:sz w:val="28"/>
          <w:szCs w:val="28"/>
        </w:rPr>
      </w:pPr>
      <w:r w:rsidRPr="003A6D4B">
        <w:rPr>
          <w:sz w:val="28"/>
          <w:szCs w:val="28"/>
        </w:rPr>
        <w:t>Bad faith in right of first refusal transactions is not found where a party undertakes an act permitted by the contract, even if the motivations are unpleasant. Rather, it is typically found where the seller does not have a legitimate interest in the terms of the third-party offer, deliberately omits terms in relaying the offer to the right-holder, or</w:t>
      </w:r>
      <w:r w:rsidRPr="003A6D4B">
        <w:rPr>
          <w:spacing w:val="-25"/>
          <w:sz w:val="28"/>
          <w:szCs w:val="28"/>
        </w:rPr>
        <w:t xml:space="preserve"> </w:t>
      </w:r>
      <w:r w:rsidRPr="003A6D4B">
        <w:rPr>
          <w:sz w:val="28"/>
          <w:szCs w:val="28"/>
        </w:rPr>
        <w:t xml:space="preserve">does not deal at </w:t>
      </w:r>
      <w:proofErr w:type="spellStart"/>
      <w:r w:rsidRPr="003A6D4B">
        <w:rPr>
          <w:sz w:val="28"/>
          <w:szCs w:val="28"/>
        </w:rPr>
        <w:t>arms length</w:t>
      </w:r>
      <w:proofErr w:type="spellEnd"/>
      <w:r w:rsidRPr="003A6D4B">
        <w:rPr>
          <w:sz w:val="28"/>
          <w:szCs w:val="28"/>
        </w:rPr>
        <w:t xml:space="preserve"> with the third-party offeror.</w:t>
      </w:r>
    </w:p>
    <w:p w14:paraId="55B1BB9D" w14:textId="77777777" w:rsidR="007371A5" w:rsidRPr="003A6D4B" w:rsidRDefault="007371A5" w:rsidP="007371A5">
      <w:pPr>
        <w:pStyle w:val="ListParagraph"/>
        <w:tabs>
          <w:tab w:val="left" w:pos="819"/>
          <w:tab w:val="left" w:pos="820"/>
        </w:tabs>
        <w:ind w:left="820" w:right="148" w:firstLine="0"/>
        <w:rPr>
          <w:sz w:val="28"/>
          <w:szCs w:val="28"/>
        </w:rPr>
      </w:pPr>
    </w:p>
    <w:p w14:paraId="1E774E3A" w14:textId="77777777" w:rsidR="007371A5" w:rsidRPr="003A6D4B" w:rsidRDefault="007371A5" w:rsidP="007371A5">
      <w:pPr>
        <w:pStyle w:val="ListParagraph"/>
        <w:tabs>
          <w:tab w:val="left" w:pos="819"/>
          <w:tab w:val="left" w:pos="820"/>
        </w:tabs>
        <w:ind w:left="0" w:right="148" w:firstLine="0"/>
        <w:rPr>
          <w:sz w:val="28"/>
          <w:szCs w:val="28"/>
        </w:rPr>
      </w:pPr>
      <w:r w:rsidRPr="003A6D4B">
        <w:rPr>
          <w:i/>
          <w:sz w:val="28"/>
          <w:szCs w:val="28"/>
        </w:rPr>
        <w:t xml:space="preserve">Roeland v. </w:t>
      </w:r>
      <w:proofErr w:type="spellStart"/>
      <w:r w:rsidRPr="003A6D4B">
        <w:rPr>
          <w:i/>
          <w:sz w:val="28"/>
          <w:szCs w:val="28"/>
        </w:rPr>
        <w:t>Trucano</w:t>
      </w:r>
      <w:proofErr w:type="spellEnd"/>
      <w:r w:rsidRPr="003A6D4B">
        <w:rPr>
          <w:sz w:val="28"/>
          <w:szCs w:val="28"/>
        </w:rPr>
        <w:t>, 214 P.3d 343, 351 (Alaska</w:t>
      </w:r>
      <w:r w:rsidRPr="003A6D4B">
        <w:rPr>
          <w:spacing w:val="-6"/>
          <w:sz w:val="28"/>
          <w:szCs w:val="28"/>
        </w:rPr>
        <w:t xml:space="preserve"> </w:t>
      </w:r>
      <w:r w:rsidRPr="003A6D4B">
        <w:rPr>
          <w:sz w:val="28"/>
          <w:szCs w:val="28"/>
        </w:rPr>
        <w:t>2009).</w:t>
      </w:r>
    </w:p>
    <w:p w14:paraId="6200D8E4" w14:textId="77777777" w:rsidR="007371A5" w:rsidRPr="003A6D4B" w:rsidRDefault="007371A5" w:rsidP="007371A5">
      <w:pPr>
        <w:pStyle w:val="ListParagraph"/>
        <w:tabs>
          <w:tab w:val="left" w:pos="819"/>
          <w:tab w:val="left" w:pos="820"/>
        </w:tabs>
        <w:ind w:left="0" w:right="148" w:firstLine="0"/>
        <w:rPr>
          <w:sz w:val="28"/>
          <w:szCs w:val="28"/>
        </w:rPr>
      </w:pPr>
    </w:p>
    <w:p w14:paraId="558D8A27" w14:textId="04E6AA61" w:rsidR="007371A5" w:rsidRPr="003A6D4B" w:rsidRDefault="007371A5" w:rsidP="007371A5">
      <w:pPr>
        <w:jc w:val="both"/>
        <w:rPr>
          <w:i/>
          <w:sz w:val="28"/>
          <w:szCs w:val="28"/>
        </w:rPr>
      </w:pPr>
      <w:r w:rsidRPr="003A6D4B">
        <w:rPr>
          <w:sz w:val="28"/>
          <w:szCs w:val="28"/>
        </w:rPr>
        <w:t xml:space="preserve">The following cases are examples of the Alaska Supreme Court’s application of the covenant of good faith and fair dealing.  </w:t>
      </w:r>
      <w:r w:rsidRPr="003A6D4B">
        <w:rPr>
          <w:i/>
          <w:sz w:val="28"/>
          <w:szCs w:val="28"/>
        </w:rPr>
        <w:t xml:space="preserve">See </w:t>
      </w:r>
      <w:proofErr w:type="spellStart"/>
      <w:r w:rsidRPr="003A6D4B">
        <w:rPr>
          <w:i/>
          <w:sz w:val="28"/>
          <w:szCs w:val="28"/>
        </w:rPr>
        <w:t>Laybourn</w:t>
      </w:r>
      <w:proofErr w:type="spellEnd"/>
      <w:r w:rsidRPr="003A6D4B">
        <w:rPr>
          <w:sz w:val="28"/>
          <w:szCs w:val="28"/>
        </w:rPr>
        <w:t xml:space="preserve">, 362 P.3d 447 (finding no breach of ‎the implied covenant where City took reasonable affirmative steps to satisfy the ‎conditions of the agreement, and no evidence that there were other steps the ‎property owners reasonably expected); </w:t>
      </w:r>
      <w:r w:rsidRPr="003A6D4B">
        <w:rPr>
          <w:i/>
          <w:sz w:val="28"/>
          <w:szCs w:val="28"/>
        </w:rPr>
        <w:t>Castle Properties, Inc. v. Wasilla Lake Church of the Nazarene</w:t>
      </w:r>
      <w:r w:rsidRPr="003A6D4B">
        <w:rPr>
          <w:sz w:val="28"/>
          <w:szCs w:val="28"/>
        </w:rPr>
        <w:t xml:space="preserve">, 347 P.3d 990 ‎‎(Alaska 2015) (finding no breach of the </w:t>
      </w:r>
      <w:r w:rsidRPr="003A6D4B">
        <w:rPr>
          <w:sz w:val="28"/>
          <w:szCs w:val="28"/>
        </w:rPr>
        <w:lastRenderedPageBreak/>
        <w:t xml:space="preserve">implied covenant where Church’s actions ‎in evaluating competing offers were not objectively nor commercial ‎unreasonable); </w:t>
      </w:r>
      <w:proofErr w:type="spellStart"/>
      <w:r w:rsidRPr="003A6D4B">
        <w:rPr>
          <w:i/>
          <w:sz w:val="28"/>
          <w:szCs w:val="28"/>
        </w:rPr>
        <w:t>Kimp</w:t>
      </w:r>
      <w:proofErr w:type="spellEnd"/>
      <w:r w:rsidRPr="003A6D4B">
        <w:rPr>
          <w:i/>
          <w:sz w:val="28"/>
          <w:szCs w:val="28"/>
        </w:rPr>
        <w:t xml:space="preserve"> v. Fire Lake Plaza II, LLC</w:t>
      </w:r>
      <w:r w:rsidRPr="003A6D4B">
        <w:rPr>
          <w:sz w:val="28"/>
          <w:szCs w:val="28"/>
        </w:rPr>
        <w:t>, 484 P.3d 80 (Alaska 2021) (finding no breach of ‎the implied covenant where tenant did not bargain for actions complained of and ‎property owner took commercially reasonable steps in addressing tenant’s ‎complaints).‎</w:t>
      </w:r>
    </w:p>
    <w:p w14:paraId="31F9E684" w14:textId="77777777" w:rsidR="00D66DC9" w:rsidRDefault="00D66DC9" w:rsidP="000E2666">
      <w:pPr>
        <w:jc w:val="both"/>
      </w:pPr>
      <w:bookmarkStart w:id="25" w:name="_GoBack"/>
      <w:bookmarkEnd w:id="25"/>
    </w:p>
    <w:sectPr w:rsidR="00D66DC9">
      <w:footerReference w:type="default" r:id="rId7"/>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5154F" w16cex:dateUtc="2022-04-16T18:1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DECB4B" w14:textId="77777777" w:rsidR="005464A4" w:rsidRDefault="005464A4" w:rsidP="007371A5">
      <w:r>
        <w:separator/>
      </w:r>
    </w:p>
  </w:endnote>
  <w:endnote w:type="continuationSeparator" w:id="0">
    <w:p w14:paraId="7991837E" w14:textId="77777777" w:rsidR="005464A4" w:rsidRDefault="005464A4" w:rsidP="00737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DC4B79" w14:textId="455938E8" w:rsidR="000E2666" w:rsidRPr="00A0302D" w:rsidRDefault="007F081C">
    <w:pPr>
      <w:pStyle w:val="Footer"/>
    </w:pPr>
    <w:r w:rsidRPr="00A0302D">
      <w:t>Revised 2022</w:t>
    </w:r>
    <w:r w:rsidR="000E2666" w:rsidRPr="00A0302D">
      <w:ptab w:relativeTo="margin" w:alignment="center" w:leader="none"/>
    </w:r>
    <w:r w:rsidRPr="00A0302D">
      <w:t>24.15A</w:t>
    </w:r>
    <w:r w:rsidR="000E2666" w:rsidRPr="00A0302D">
      <w:ptab w:relativeTo="margin" w:alignment="right" w:leader="none"/>
    </w:r>
    <w:r w:rsidRPr="00A0302D">
      <w:fldChar w:fldCharType="begin"/>
    </w:r>
    <w:r w:rsidRPr="00A0302D">
      <w:instrText xml:space="preserve"> PAGE   \* MERGEFORMAT </w:instrText>
    </w:r>
    <w:r w:rsidRPr="00A0302D">
      <w:fldChar w:fldCharType="separate"/>
    </w:r>
    <w:r w:rsidRPr="00A0302D">
      <w:rPr>
        <w:noProof/>
      </w:rPr>
      <w:t>1</w:t>
    </w:r>
    <w:r w:rsidRPr="00A0302D">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F7A517" w14:textId="77777777" w:rsidR="005464A4" w:rsidRDefault="005464A4" w:rsidP="007371A5">
      <w:r>
        <w:separator/>
      </w:r>
    </w:p>
  </w:footnote>
  <w:footnote w:type="continuationSeparator" w:id="0">
    <w:p w14:paraId="60C098E8" w14:textId="77777777" w:rsidR="005464A4" w:rsidRDefault="005464A4" w:rsidP="007371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B53F32"/>
    <w:multiLevelType w:val="hybridMultilevel"/>
    <w:tmpl w:val="007E58F4"/>
    <w:lvl w:ilvl="0" w:tplc="61C2DC8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1A5"/>
    <w:rsid w:val="000E2666"/>
    <w:rsid w:val="000F3883"/>
    <w:rsid w:val="005464A4"/>
    <w:rsid w:val="005539E6"/>
    <w:rsid w:val="00614156"/>
    <w:rsid w:val="00652290"/>
    <w:rsid w:val="006A2130"/>
    <w:rsid w:val="007361E2"/>
    <w:rsid w:val="007371A5"/>
    <w:rsid w:val="00765796"/>
    <w:rsid w:val="007F081C"/>
    <w:rsid w:val="00817B5E"/>
    <w:rsid w:val="008F4BAB"/>
    <w:rsid w:val="00944177"/>
    <w:rsid w:val="00A0302D"/>
    <w:rsid w:val="00A345C6"/>
    <w:rsid w:val="00C30D45"/>
    <w:rsid w:val="00CC2D9F"/>
    <w:rsid w:val="00D41A8F"/>
    <w:rsid w:val="00D66DC9"/>
    <w:rsid w:val="00DF74C7"/>
    <w:rsid w:val="00E372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650665B"/>
  <w15:chartTrackingRefBased/>
  <w15:docId w15:val="{33C1997B-07CF-4210-A798-9FE068112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388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71A5"/>
    <w:pPr>
      <w:tabs>
        <w:tab w:val="center" w:pos="4680"/>
        <w:tab w:val="right" w:pos="9360"/>
      </w:tabs>
    </w:pPr>
  </w:style>
  <w:style w:type="character" w:customStyle="1" w:styleId="HeaderChar">
    <w:name w:val="Header Char"/>
    <w:basedOn w:val="DefaultParagraphFont"/>
    <w:link w:val="Header"/>
    <w:uiPriority w:val="99"/>
    <w:rsid w:val="007371A5"/>
  </w:style>
  <w:style w:type="paragraph" w:styleId="Footer">
    <w:name w:val="footer"/>
    <w:basedOn w:val="Normal"/>
    <w:link w:val="FooterChar"/>
    <w:uiPriority w:val="99"/>
    <w:unhideWhenUsed/>
    <w:rsid w:val="007371A5"/>
    <w:pPr>
      <w:tabs>
        <w:tab w:val="center" w:pos="4680"/>
        <w:tab w:val="right" w:pos="9360"/>
      </w:tabs>
    </w:pPr>
  </w:style>
  <w:style w:type="character" w:customStyle="1" w:styleId="FooterChar">
    <w:name w:val="Footer Char"/>
    <w:basedOn w:val="DefaultParagraphFont"/>
    <w:link w:val="Footer"/>
    <w:uiPriority w:val="99"/>
    <w:rsid w:val="007371A5"/>
  </w:style>
  <w:style w:type="paragraph" w:styleId="ListParagraph">
    <w:name w:val="List Paragraph"/>
    <w:basedOn w:val="Normal"/>
    <w:uiPriority w:val="1"/>
    <w:qFormat/>
    <w:rsid w:val="007371A5"/>
    <w:pPr>
      <w:adjustRightInd/>
      <w:ind w:left="1540" w:hanging="360"/>
    </w:pPr>
    <w:rPr>
      <w:sz w:val="22"/>
      <w:szCs w:val="22"/>
    </w:rPr>
  </w:style>
  <w:style w:type="character" w:styleId="CommentReference">
    <w:name w:val="annotation reference"/>
    <w:basedOn w:val="DefaultParagraphFont"/>
    <w:uiPriority w:val="99"/>
    <w:semiHidden/>
    <w:unhideWhenUsed/>
    <w:rsid w:val="007371A5"/>
    <w:rPr>
      <w:sz w:val="16"/>
      <w:szCs w:val="16"/>
    </w:rPr>
  </w:style>
  <w:style w:type="paragraph" w:styleId="CommentText">
    <w:name w:val="annotation text"/>
    <w:basedOn w:val="Normal"/>
    <w:link w:val="CommentTextChar"/>
    <w:uiPriority w:val="99"/>
    <w:semiHidden/>
    <w:unhideWhenUsed/>
    <w:rsid w:val="007371A5"/>
    <w:rPr>
      <w:sz w:val="20"/>
      <w:szCs w:val="20"/>
    </w:rPr>
  </w:style>
  <w:style w:type="character" w:customStyle="1" w:styleId="CommentTextChar">
    <w:name w:val="Comment Text Char"/>
    <w:basedOn w:val="DefaultParagraphFont"/>
    <w:link w:val="CommentText"/>
    <w:uiPriority w:val="99"/>
    <w:semiHidden/>
    <w:rsid w:val="007371A5"/>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F3883"/>
    <w:rPr>
      <w:rFonts w:ascii="Segoe UI" w:hAnsi="Segoe UI" w:cs="Segoe UI"/>
      <w:szCs w:val="18"/>
    </w:rPr>
  </w:style>
  <w:style w:type="character" w:customStyle="1" w:styleId="BalloonTextChar">
    <w:name w:val="Balloon Text Char"/>
    <w:basedOn w:val="DefaultParagraphFont"/>
    <w:link w:val="BalloonText"/>
    <w:uiPriority w:val="99"/>
    <w:semiHidden/>
    <w:rsid w:val="000F3883"/>
    <w:rPr>
      <w:rFonts w:ascii="Segoe UI" w:eastAsia="Times New Roman" w:hAnsi="Segoe UI" w:cs="Segoe UI"/>
      <w:sz w:val="24"/>
      <w:szCs w:val="18"/>
    </w:rPr>
  </w:style>
  <w:style w:type="paragraph" w:styleId="CommentSubject">
    <w:name w:val="annotation subject"/>
    <w:basedOn w:val="CommentText"/>
    <w:next w:val="CommentText"/>
    <w:link w:val="CommentSubjectChar"/>
    <w:uiPriority w:val="99"/>
    <w:semiHidden/>
    <w:unhideWhenUsed/>
    <w:rsid w:val="00765796"/>
    <w:rPr>
      <w:b/>
      <w:bCs/>
    </w:rPr>
  </w:style>
  <w:style w:type="character" w:customStyle="1" w:styleId="CommentSubjectChar">
    <w:name w:val="Comment Subject Char"/>
    <w:basedOn w:val="CommentTextChar"/>
    <w:link w:val="CommentSubject"/>
    <w:uiPriority w:val="99"/>
    <w:semiHidden/>
    <w:rsid w:val="00765796"/>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9"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664</Words>
  <Characters>3791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Hanley Robinson</dc:creator>
  <cp:lastModifiedBy>Hanley Robinson</cp:lastModifiedBy>
  <cp:revision>5</cp:revision>
  <dcterms:created xsi:type="dcterms:W3CDTF">2022-04-18T23:13:00Z</dcterms:created>
  <dcterms:modified xsi:type="dcterms:W3CDTF">2022-11-07T23:17:00Z</dcterms:modified>
</cp:coreProperties>
</file>