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0CA5">
      <w:pPr>
        <w:widowControl w:val="0"/>
        <w:ind w:left="1440" w:hanging="1440"/>
        <w:jc w:val="both"/>
        <w:rPr>
          <w:rFonts w:ascii="Bookman Old Style" w:hAnsi="Bookman Old Style"/>
          <w:b/>
          <w:snapToGrid w:val="0"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napToGrid w:val="0"/>
          <w:sz w:val="26"/>
        </w:rPr>
        <w:t>26.01</w:t>
      </w:r>
      <w:r>
        <w:rPr>
          <w:rFonts w:ascii="Bookman Old Style" w:hAnsi="Bookman Old Style"/>
          <w:b/>
          <w:snapToGrid w:val="0"/>
          <w:sz w:val="26"/>
        </w:rPr>
        <w:tab/>
        <w:t>STATEMENT OF THE CASE AND DEFINITION OF A WILL</w:t>
      </w:r>
    </w:p>
    <w:p w:rsidR="00000000" w:rsidRDefault="00170CA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170CA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170CA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This case is a dispute over the validity of a will.</w:t>
      </w:r>
    </w:p>
    <w:p w:rsidR="00000000" w:rsidRDefault="00170CA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170CA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A will is a signed statement by a person at least 18 years of age and of sound mind as to what [he] [she] wants done with [his] [her] property at [h</w:t>
      </w:r>
      <w:r>
        <w:rPr>
          <w:rFonts w:ascii="Bookman Old Style" w:hAnsi="Bookman Old Style"/>
          <w:snapToGrid w:val="0"/>
          <w:sz w:val="26"/>
        </w:rPr>
        <w:t xml:space="preserve">is] [her] death.  </w:t>
      </w:r>
    </w:p>
    <w:p w:rsidR="00000000" w:rsidRDefault="00170CA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170CA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The right to dispose of property by will is a fundamental right assured by law and does not depend upon the right being wisely used.  A person is under no obligation to make a will that meets with the approval of a judge or jury.  A wil</w:t>
      </w:r>
      <w:r>
        <w:rPr>
          <w:rFonts w:ascii="Bookman Old Style" w:hAnsi="Bookman Old Style"/>
          <w:snapToGrid w:val="0"/>
          <w:sz w:val="26"/>
        </w:rPr>
        <w:t>l cannot be set aside simply because it may appear to you to be unreasonable or unjust.</w:t>
      </w:r>
    </w:p>
    <w:p w:rsidR="00000000" w:rsidRDefault="00170CA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170CA5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170CA5">
      <w:pPr>
        <w:widowControl w:val="0"/>
        <w:spacing w:line="240" w:lineRule="exact"/>
        <w:jc w:val="center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  <w:u w:val="single"/>
        </w:rPr>
        <w:t>Use Note</w:t>
      </w:r>
    </w:p>
    <w:p w:rsidR="00000000" w:rsidRDefault="00170CA5">
      <w:pPr>
        <w:widowControl w:val="0"/>
        <w:spacing w:line="240" w:lineRule="exac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170CA5">
      <w:pPr>
        <w:widowControl w:val="0"/>
        <w:spacing w:line="240" w:lineRule="exac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This instruction should be the first instruction given to the jury and should be used in all will contest cases.</w:t>
      </w:r>
    </w:p>
    <w:p w:rsidR="00000000" w:rsidRDefault="00170CA5">
      <w:pPr>
        <w:widowControl w:val="0"/>
        <w:spacing w:line="240" w:lineRule="exac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170CA5">
      <w:pPr>
        <w:pStyle w:val="Heading1"/>
        <w:spacing w:line="240" w:lineRule="exact"/>
      </w:pPr>
      <w:r>
        <w:t>Comment</w:t>
      </w:r>
    </w:p>
    <w:p w:rsidR="00000000" w:rsidRDefault="00170CA5">
      <w:pPr>
        <w:widowControl w:val="0"/>
        <w:spacing w:line="240" w:lineRule="exac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170CA5">
      <w:pPr>
        <w:widowControl w:val="0"/>
        <w:spacing w:line="240" w:lineRule="exac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There are three basic requirement</w:t>
      </w:r>
      <w:r>
        <w:rPr>
          <w:rFonts w:ascii="Bookman Old Style" w:hAnsi="Bookman Old Style"/>
          <w:snapToGrid w:val="0"/>
          <w:sz w:val="26"/>
        </w:rPr>
        <w:t xml:space="preserve">s to make a valid will.  First, the testator must comply with the statutory requirements.  Alaska </w:t>
      </w:r>
      <w:proofErr w:type="spellStart"/>
      <w:r>
        <w:rPr>
          <w:rFonts w:ascii="Bookman Old Style" w:hAnsi="Bookman Old Style"/>
          <w:snapToGrid w:val="0"/>
          <w:sz w:val="26"/>
        </w:rPr>
        <w:t>Stat</w:t>
      </w:r>
      <w:proofErr w:type="spellEnd"/>
      <w:r>
        <w:rPr>
          <w:rFonts w:ascii="Bookman Old Style" w:hAnsi="Bookman Old Style"/>
          <w:snapToGrid w:val="0"/>
          <w:sz w:val="26"/>
        </w:rPr>
        <w:t xml:space="preserve">. 13.11.150 (age and sound mind); Alaska </w:t>
      </w:r>
      <w:proofErr w:type="spellStart"/>
      <w:r>
        <w:rPr>
          <w:rFonts w:ascii="Bookman Old Style" w:hAnsi="Bookman Old Style"/>
          <w:snapToGrid w:val="0"/>
          <w:sz w:val="26"/>
        </w:rPr>
        <w:t>Stat</w:t>
      </w:r>
      <w:proofErr w:type="spellEnd"/>
      <w:r>
        <w:rPr>
          <w:rFonts w:ascii="Bookman Old Style" w:hAnsi="Bookman Old Style"/>
          <w:snapToGrid w:val="0"/>
          <w:sz w:val="26"/>
        </w:rPr>
        <w:t xml:space="preserve">. 13.11.155 (execution).  Second, the testator must have testamentary capacity.  </w:t>
      </w:r>
      <w:r>
        <w:rPr>
          <w:rFonts w:ascii="Bookman Old Style" w:hAnsi="Bookman Old Style"/>
          <w:snapToGrid w:val="0"/>
          <w:sz w:val="26"/>
          <w:u w:val="single"/>
        </w:rPr>
        <w:t>See</w:t>
      </w:r>
      <w:r>
        <w:rPr>
          <w:rFonts w:ascii="Bookman Old Style" w:hAnsi="Bookman Old Style"/>
          <w:snapToGrid w:val="0"/>
          <w:sz w:val="26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6"/>
          <w:u w:val="single"/>
        </w:rPr>
        <w:t>Paskvan</w:t>
      </w:r>
      <w:proofErr w:type="spellEnd"/>
      <w:r>
        <w:rPr>
          <w:rFonts w:ascii="Bookman Old Style" w:hAnsi="Bookman Old Style"/>
          <w:snapToGrid w:val="0"/>
          <w:sz w:val="26"/>
          <w:u w:val="single"/>
        </w:rPr>
        <w:t xml:space="preserve"> v. </w:t>
      </w:r>
      <w:proofErr w:type="spellStart"/>
      <w:r>
        <w:rPr>
          <w:rFonts w:ascii="Bookman Old Style" w:hAnsi="Bookman Old Style"/>
          <w:snapToGrid w:val="0"/>
          <w:sz w:val="26"/>
          <w:u w:val="single"/>
        </w:rPr>
        <w:t>Mesich</w:t>
      </w:r>
      <w:proofErr w:type="spellEnd"/>
      <w:r>
        <w:rPr>
          <w:rFonts w:ascii="Bookman Old Style" w:hAnsi="Bookman Old Style"/>
          <w:snapToGrid w:val="0"/>
          <w:sz w:val="26"/>
        </w:rPr>
        <w:t>, 455 P</w:t>
      </w:r>
      <w:r>
        <w:rPr>
          <w:rFonts w:ascii="Bookman Old Style" w:hAnsi="Bookman Old Style"/>
          <w:snapToGrid w:val="0"/>
          <w:sz w:val="26"/>
        </w:rPr>
        <w:t xml:space="preserve">.2d 229, 234-35 (Alaska 1969); </w:t>
      </w:r>
      <w:r>
        <w:rPr>
          <w:rFonts w:ascii="Bookman Old Style" w:hAnsi="Bookman Old Style"/>
          <w:snapToGrid w:val="0"/>
          <w:sz w:val="26"/>
          <w:u w:val="single"/>
        </w:rPr>
        <w:t>In re Kraft's Estate</w:t>
      </w:r>
      <w:r>
        <w:rPr>
          <w:rFonts w:ascii="Bookman Old Style" w:hAnsi="Bookman Old Style"/>
          <w:snapToGrid w:val="0"/>
          <w:sz w:val="26"/>
        </w:rPr>
        <w:t xml:space="preserve">, 374 P.2d 413, 415-16 (Alaska 1962); </w:t>
      </w:r>
      <w:r>
        <w:rPr>
          <w:rFonts w:ascii="Bookman Old Style" w:hAnsi="Bookman Old Style"/>
          <w:snapToGrid w:val="0"/>
          <w:sz w:val="26"/>
          <w:u w:val="single"/>
        </w:rPr>
        <w:t>In re Holland's Estate</w:t>
      </w:r>
      <w:r>
        <w:rPr>
          <w:rFonts w:ascii="Bookman Old Style" w:hAnsi="Bookman Old Style"/>
          <w:snapToGrid w:val="0"/>
          <w:sz w:val="26"/>
        </w:rPr>
        <w:t xml:space="preserve">, 10 Alaska § 557, 563-64 (1945).  Third, the testator must not have been acting under undue influence, duress or fraud.  </w:t>
      </w:r>
      <w:r>
        <w:rPr>
          <w:rFonts w:ascii="Bookman Old Style" w:hAnsi="Bookman Old Style"/>
          <w:snapToGrid w:val="0"/>
          <w:sz w:val="26"/>
          <w:u w:val="single"/>
        </w:rPr>
        <w:t>See</w:t>
      </w:r>
      <w:r>
        <w:rPr>
          <w:rFonts w:ascii="Bookman Old Style" w:hAnsi="Bookman Old Style"/>
          <w:snapToGrid w:val="0"/>
          <w:sz w:val="26"/>
        </w:rPr>
        <w:t xml:space="preserve"> </w:t>
      </w:r>
      <w:r>
        <w:rPr>
          <w:rFonts w:ascii="Bookman Old Style" w:hAnsi="Bookman Old Style"/>
          <w:snapToGrid w:val="0"/>
          <w:sz w:val="26"/>
          <w:u w:val="single"/>
        </w:rPr>
        <w:t>Matter of Estate of</w:t>
      </w:r>
      <w:r>
        <w:rPr>
          <w:rFonts w:ascii="Bookman Old Style" w:hAnsi="Bookman Old Style"/>
          <w:snapToGrid w:val="0"/>
          <w:sz w:val="26"/>
          <w:u w:val="single"/>
        </w:rPr>
        <w:t xml:space="preserve"> McCoy</w:t>
      </w:r>
      <w:r>
        <w:rPr>
          <w:rFonts w:ascii="Bookman Old Style" w:hAnsi="Bookman Old Style"/>
          <w:snapToGrid w:val="0"/>
          <w:sz w:val="26"/>
        </w:rPr>
        <w:t xml:space="preserve">, 844 P.2d 1131, 1135-36 (Alaska 1993); </w:t>
      </w:r>
      <w:proofErr w:type="spellStart"/>
      <w:r>
        <w:rPr>
          <w:rFonts w:ascii="Bookman Old Style" w:hAnsi="Bookman Old Style"/>
          <w:snapToGrid w:val="0"/>
          <w:sz w:val="26"/>
          <w:u w:val="single"/>
        </w:rPr>
        <w:t>Paskvan</w:t>
      </w:r>
      <w:proofErr w:type="spellEnd"/>
      <w:r>
        <w:rPr>
          <w:rFonts w:ascii="Bookman Old Style" w:hAnsi="Bookman Old Style"/>
          <w:snapToGrid w:val="0"/>
          <w:sz w:val="26"/>
          <w:u w:val="single"/>
        </w:rPr>
        <w:t xml:space="preserve"> v. </w:t>
      </w:r>
      <w:proofErr w:type="spellStart"/>
      <w:r>
        <w:rPr>
          <w:rFonts w:ascii="Bookman Old Style" w:hAnsi="Bookman Old Style"/>
          <w:snapToGrid w:val="0"/>
          <w:sz w:val="26"/>
          <w:u w:val="single"/>
        </w:rPr>
        <w:t>Mesich</w:t>
      </w:r>
      <w:proofErr w:type="spellEnd"/>
      <w:r>
        <w:rPr>
          <w:rFonts w:ascii="Bookman Old Style" w:hAnsi="Bookman Old Style"/>
          <w:snapToGrid w:val="0"/>
          <w:sz w:val="26"/>
        </w:rPr>
        <w:t xml:space="preserve">, 455 P.2d 229, 239 (Alaska 1969).  However, as noted in </w:t>
      </w:r>
      <w:r>
        <w:rPr>
          <w:rFonts w:ascii="Bookman Old Style" w:hAnsi="Bookman Old Style"/>
          <w:snapToGrid w:val="0"/>
          <w:sz w:val="26"/>
          <w:u w:val="single"/>
        </w:rPr>
        <w:t>Page on Wills</w:t>
      </w:r>
      <w:r>
        <w:rPr>
          <w:rFonts w:ascii="Bookman Old Style" w:hAnsi="Bookman Old Style"/>
          <w:snapToGrid w:val="0"/>
          <w:sz w:val="26"/>
        </w:rPr>
        <w:t>, "The fact that the disposition of the testator's property made by the will is capricious, unjust, spiteful, eccentric, re</w:t>
      </w:r>
      <w:r>
        <w:rPr>
          <w:rFonts w:ascii="Bookman Old Style" w:hAnsi="Bookman Old Style"/>
          <w:snapToGrid w:val="0"/>
          <w:sz w:val="26"/>
        </w:rPr>
        <w:t xml:space="preserve">vengeful or </w:t>
      </w:r>
      <w:proofErr w:type="spellStart"/>
      <w:r>
        <w:rPr>
          <w:rFonts w:ascii="Bookman Old Style" w:hAnsi="Bookman Old Style"/>
          <w:snapToGrid w:val="0"/>
          <w:sz w:val="26"/>
        </w:rPr>
        <w:t>unjudicious</w:t>
      </w:r>
      <w:proofErr w:type="spellEnd"/>
      <w:r>
        <w:rPr>
          <w:rFonts w:ascii="Bookman Old Style" w:hAnsi="Bookman Old Style"/>
          <w:snapToGrid w:val="0"/>
          <w:sz w:val="26"/>
        </w:rPr>
        <w:t xml:space="preserve"> does not of itself render the will invalid."  1 </w:t>
      </w:r>
      <w:proofErr w:type="spellStart"/>
      <w:r>
        <w:rPr>
          <w:rFonts w:ascii="Bookman Old Style" w:hAnsi="Bookman Old Style"/>
          <w:snapToGrid w:val="0"/>
          <w:sz w:val="26"/>
        </w:rPr>
        <w:t>Bowe</w:t>
      </w:r>
      <w:proofErr w:type="spellEnd"/>
      <w:r>
        <w:rPr>
          <w:rFonts w:ascii="Bookman Old Style" w:hAnsi="Bookman Old Style"/>
          <w:snapToGrid w:val="0"/>
          <w:sz w:val="26"/>
        </w:rPr>
        <w:t xml:space="preserve">-Parker, </w:t>
      </w:r>
      <w:r>
        <w:rPr>
          <w:rFonts w:ascii="Bookman Old Style" w:hAnsi="Bookman Old Style"/>
          <w:snapToGrid w:val="0"/>
          <w:sz w:val="26"/>
          <w:u w:val="single"/>
        </w:rPr>
        <w:t>Page on Wills</w:t>
      </w:r>
      <w:r>
        <w:rPr>
          <w:rFonts w:ascii="Bookman Old Style" w:hAnsi="Bookman Old Style"/>
          <w:snapToGrid w:val="0"/>
          <w:sz w:val="26"/>
        </w:rPr>
        <w:t xml:space="preserve"> § 3.11 at 89-90 (Rev. ed. 1960).  A testator "need not make his will so as to obtain the approval of his contemporaries or any other."  </w:t>
      </w:r>
      <w:r>
        <w:rPr>
          <w:rFonts w:ascii="Bookman Old Style" w:hAnsi="Bookman Old Style"/>
          <w:snapToGrid w:val="0"/>
          <w:sz w:val="26"/>
          <w:u w:val="single"/>
        </w:rPr>
        <w:t>Id</w:t>
      </w:r>
      <w:r>
        <w:rPr>
          <w:rFonts w:ascii="Bookman Old Style" w:hAnsi="Bookman Old Style"/>
          <w:snapToGrid w:val="0"/>
          <w:sz w:val="26"/>
        </w:rPr>
        <w:t xml:space="preserve">. at § 3.11 (1985 </w:t>
      </w:r>
      <w:proofErr w:type="spellStart"/>
      <w:r>
        <w:rPr>
          <w:rFonts w:ascii="Bookman Old Style" w:hAnsi="Bookman Old Style"/>
          <w:snapToGrid w:val="0"/>
          <w:sz w:val="26"/>
        </w:rPr>
        <w:t>S</w:t>
      </w:r>
      <w:r>
        <w:rPr>
          <w:rFonts w:ascii="Bookman Old Style" w:hAnsi="Bookman Old Style"/>
          <w:snapToGrid w:val="0"/>
          <w:sz w:val="26"/>
        </w:rPr>
        <w:t>upp</w:t>
      </w:r>
      <w:proofErr w:type="spellEnd"/>
      <w:r>
        <w:rPr>
          <w:rFonts w:ascii="Bookman Old Style" w:hAnsi="Bookman Old Style"/>
          <w:snapToGrid w:val="0"/>
          <w:sz w:val="26"/>
        </w:rPr>
        <w:t xml:space="preserve">.). </w:t>
      </w:r>
    </w:p>
    <w:p w:rsidR="00000000" w:rsidRDefault="00170CA5">
      <w:pPr>
        <w:widowControl w:val="0"/>
        <w:spacing w:line="240" w:lineRule="exac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170CA5">
      <w:pPr>
        <w:widowControl w:val="0"/>
        <w:spacing w:line="240" w:lineRule="exac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  <w:u w:val="single"/>
        </w:rPr>
        <w:t>See</w:t>
      </w:r>
      <w:r>
        <w:rPr>
          <w:rFonts w:ascii="Bookman Old Style" w:hAnsi="Bookman Old Style"/>
          <w:snapToGrid w:val="0"/>
          <w:sz w:val="26"/>
        </w:rPr>
        <w:t xml:space="preserve"> </w:t>
      </w:r>
      <w:r>
        <w:rPr>
          <w:rFonts w:ascii="Bookman Old Style" w:hAnsi="Bookman Old Style"/>
          <w:snapToGrid w:val="0"/>
          <w:sz w:val="26"/>
          <w:u w:val="single"/>
        </w:rPr>
        <w:t>also</w:t>
      </w:r>
      <w:r>
        <w:rPr>
          <w:rFonts w:ascii="Bookman Old Style" w:hAnsi="Bookman Old Style"/>
          <w:snapToGrid w:val="0"/>
          <w:sz w:val="26"/>
        </w:rPr>
        <w:t xml:space="preserve"> Alaska </w:t>
      </w:r>
      <w:proofErr w:type="spellStart"/>
      <w:r>
        <w:rPr>
          <w:rFonts w:ascii="Bookman Old Style" w:hAnsi="Bookman Old Style"/>
          <w:snapToGrid w:val="0"/>
          <w:sz w:val="26"/>
        </w:rPr>
        <w:t>Stat</w:t>
      </w:r>
      <w:proofErr w:type="spellEnd"/>
      <w:r>
        <w:rPr>
          <w:rFonts w:ascii="Bookman Old Style" w:hAnsi="Bookman Old Style"/>
          <w:snapToGrid w:val="0"/>
          <w:sz w:val="26"/>
        </w:rPr>
        <w:t>. 13.11.158 regarding oral wills by mariners at sea and soldiers in military service.</w:t>
      </w:r>
    </w:p>
    <w:sectPr w:rsidR="00000000">
      <w:headerReference w:type="even" r:id="rId7"/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0CA5">
      <w:r>
        <w:separator/>
      </w:r>
    </w:p>
  </w:endnote>
  <w:endnote w:type="continuationSeparator" w:id="0">
    <w:p w:rsidR="00000000" w:rsidRDefault="0017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hicag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0CA5">
    <w:pPr>
      <w:widowControl w:val="0"/>
      <w:tabs>
        <w:tab w:val="right" w:pos="9360"/>
      </w:tabs>
      <w:jc w:val="both"/>
      <w:rPr>
        <w:rFonts w:ascii="Bookman Old Style" w:hAnsi="Bookman Old Style"/>
        <w:snapToGrid w:val="0"/>
        <w:sz w:val="26"/>
      </w:rPr>
    </w:pPr>
    <w:r>
      <w:rPr>
        <w:rFonts w:ascii="Bookman Old Style" w:hAnsi="Bookman Old Style"/>
        <w:snapToGrid w:val="0"/>
        <w:sz w:val="26"/>
      </w:rPr>
      <w:t>Revised 1995</w:t>
    </w:r>
    <w:r>
      <w:rPr>
        <w:rFonts w:ascii="Bookman Old Style" w:hAnsi="Bookman Old Style"/>
        <w:snapToGrid w:val="0"/>
        <w:sz w:val="26"/>
      </w:rPr>
      <w:tab/>
      <w:t>26.01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0CA5">
      <w:r>
        <w:separator/>
      </w:r>
    </w:p>
  </w:footnote>
  <w:footnote w:type="continuationSeparator" w:id="0">
    <w:p w:rsidR="00000000" w:rsidRDefault="0017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0CA5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rPr>
        <w:rFonts w:ascii="Chicago" w:hAnsi="Chicago"/>
        <w:snapToGrid w:val="0"/>
        <w:sz w:val="24"/>
      </w:rPr>
    </w:pPr>
    <w:r>
      <w:rPr>
        <w:rFonts w:ascii="Courier" w:hAnsi="Courier"/>
        <w:snapToGrid w:val="0"/>
        <w:sz w:val="24"/>
      </w:rPr>
      <w:t>26.01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0CA5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right"/>
      <w:rPr>
        <w:rFonts w:ascii="Chicago" w:hAnsi="Chicago"/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0E"/>
    <w:rsid w:val="00170CA5"/>
    <w:rsid w:val="009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Bookman Old Style" w:hAnsi="Bookman Old Style"/>
      <w:snapToGrid w:val="0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Bookman Old Style" w:hAnsi="Bookman Old Style"/>
      <w:snapToGrid w:val="0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>Alaska Court System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Sandy</dc:creator>
  <cp:keywords/>
  <cp:lastModifiedBy>Michael Merrington</cp:lastModifiedBy>
  <cp:revision>3</cp:revision>
  <cp:lastPrinted>2000-09-06T16:35:00Z</cp:lastPrinted>
  <dcterms:created xsi:type="dcterms:W3CDTF">2017-04-04T18:52:00Z</dcterms:created>
  <dcterms:modified xsi:type="dcterms:W3CDTF">2017-04-04T18:52:00Z</dcterms:modified>
</cp:coreProperties>
</file>