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4CA5">
      <w:pPr>
        <w:widowControl w:val="0"/>
        <w:ind w:left="1440" w:hanging="1440"/>
        <w:jc w:val="both"/>
        <w:rPr>
          <w:rFonts w:ascii="Bookman Old Style" w:hAnsi="Bookman Old Style"/>
          <w:b/>
          <w:snapToGrid w:val="0"/>
          <w:sz w:val="26"/>
        </w:rPr>
      </w:pPr>
      <w:bookmarkStart w:id="0" w:name="_GoBack"/>
      <w:bookmarkEnd w:id="0"/>
      <w:r>
        <w:rPr>
          <w:rFonts w:ascii="Bookman Old Style" w:hAnsi="Bookman Old Style"/>
          <w:b/>
          <w:snapToGrid w:val="0"/>
          <w:sz w:val="26"/>
        </w:rPr>
        <w:t>26.05</w:t>
      </w:r>
      <w:r>
        <w:rPr>
          <w:rFonts w:ascii="Bookman Old Style" w:hAnsi="Bookman Old Style"/>
          <w:b/>
          <w:snapToGrid w:val="0"/>
          <w:sz w:val="26"/>
        </w:rPr>
        <w:tab/>
        <w:t xml:space="preserve">EXECUTION OF A HOLOGRAPHIC WILL </w:t>
      </w:r>
    </w:p>
    <w:p w:rsidR="00000000" w:rsidRDefault="00A44CA5">
      <w:pPr>
        <w:widowControl w:val="0"/>
        <w:spacing w:line="360" w:lineRule="auto"/>
        <w:jc w:val="both"/>
        <w:rPr>
          <w:rFonts w:ascii="Bookman Old Style" w:hAnsi="Bookman Old Style"/>
          <w:snapToGrid w:val="0"/>
          <w:sz w:val="26"/>
        </w:rPr>
      </w:pPr>
    </w:p>
    <w:p w:rsidR="00000000" w:rsidRDefault="00A44CA5">
      <w:pPr>
        <w:widowControl w:val="0"/>
        <w:spacing w:line="360" w:lineRule="auto"/>
        <w:jc w:val="both"/>
        <w:rPr>
          <w:rFonts w:ascii="Bookman Old Style" w:hAnsi="Bookman Old Style"/>
          <w:snapToGrid w:val="0"/>
          <w:sz w:val="26"/>
        </w:rPr>
      </w:pPr>
    </w:p>
    <w:p w:rsidR="00000000" w:rsidRDefault="00A44CA5">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spacing w:line="360" w:lineRule="auto"/>
      </w:pPr>
      <w:r>
        <w:t>The Contestant claims that the will is invalid because it was not written and signed in the way the law requires.  In order to find that the will was written and signed in the way the law requires, you must decide t</w:t>
      </w:r>
      <w:r>
        <w:t>hat each of the following things is more likely true than not true:</w:t>
      </w:r>
    </w:p>
    <w:p w:rsidR="00000000" w:rsidRDefault="00A44CA5">
      <w:pPr>
        <w:widowControl w:val="0"/>
        <w:spacing w:line="360" w:lineRule="auto"/>
        <w:jc w:val="both"/>
        <w:rPr>
          <w:rFonts w:ascii="Bookman Old Style" w:hAnsi="Bookman Old Style"/>
          <w:snapToGrid w:val="0"/>
          <w:sz w:val="26"/>
        </w:rPr>
      </w:pPr>
    </w:p>
    <w:p w:rsidR="00000000" w:rsidRDefault="00A44CA5">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(1)</w:t>
      </w:r>
      <w:r>
        <w:rPr>
          <w:rFonts w:ascii="Bookman Old Style" w:hAnsi="Bookman Old Style"/>
          <w:snapToGrid w:val="0"/>
          <w:sz w:val="26"/>
        </w:rPr>
        <w:tab/>
        <w:t>the parts of the Maker's will which dispose of [his] [her] property are in the Maker's handwriting; and</w:t>
      </w:r>
    </w:p>
    <w:p w:rsidR="00000000" w:rsidRDefault="00A44CA5">
      <w:pPr>
        <w:widowControl w:val="0"/>
        <w:spacing w:line="360" w:lineRule="auto"/>
        <w:ind w:left="720" w:hanging="720"/>
        <w:jc w:val="both"/>
        <w:rPr>
          <w:rFonts w:ascii="Bookman Old Style" w:hAnsi="Bookman Old Style"/>
          <w:snapToGrid w:val="0"/>
          <w:sz w:val="26"/>
        </w:rPr>
      </w:pPr>
    </w:p>
    <w:p w:rsidR="00000000" w:rsidRDefault="00A44CA5">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(2)</w:t>
      </w:r>
      <w:r>
        <w:rPr>
          <w:rFonts w:ascii="Bookman Old Style" w:hAnsi="Bookman Old Style"/>
          <w:snapToGrid w:val="0"/>
          <w:sz w:val="26"/>
        </w:rPr>
        <w:tab/>
        <w:t>the signature on the will is in the Maker's handwriting; and</w:t>
      </w:r>
    </w:p>
    <w:p w:rsidR="00000000" w:rsidRDefault="00A44CA5">
      <w:pPr>
        <w:widowControl w:val="0"/>
        <w:spacing w:line="360" w:lineRule="auto"/>
        <w:ind w:left="720" w:hanging="720"/>
        <w:jc w:val="both"/>
        <w:rPr>
          <w:rFonts w:ascii="Bookman Old Style" w:hAnsi="Bookman Old Style"/>
          <w:snapToGrid w:val="0"/>
          <w:sz w:val="26"/>
        </w:rPr>
      </w:pPr>
    </w:p>
    <w:p w:rsidR="00000000" w:rsidRDefault="00A44CA5">
      <w:pPr>
        <w:widowControl w:val="0"/>
        <w:spacing w:line="360" w:lineRule="auto"/>
        <w:ind w:left="720" w:hanging="720"/>
        <w:jc w:val="both"/>
        <w:rPr>
          <w:rFonts w:ascii="Bookman Old Style" w:hAnsi="Bookman Old Style"/>
          <w:snapToGrid w:val="0"/>
          <w:sz w:val="26"/>
        </w:rPr>
      </w:pPr>
      <w:r>
        <w:rPr>
          <w:rFonts w:ascii="Bookman Old Style" w:hAnsi="Bookman Old Style"/>
          <w:snapToGrid w:val="0"/>
          <w:sz w:val="26"/>
        </w:rPr>
        <w:t>(3)</w:t>
      </w:r>
      <w:r>
        <w:rPr>
          <w:rFonts w:ascii="Bookman Old Style" w:hAnsi="Bookman Old Style"/>
          <w:snapToGrid w:val="0"/>
          <w:sz w:val="26"/>
        </w:rPr>
        <w:tab/>
        <w:t>the Make</w:t>
      </w:r>
      <w:r>
        <w:rPr>
          <w:rFonts w:ascii="Bookman Old Style" w:hAnsi="Bookman Old Style"/>
          <w:snapToGrid w:val="0"/>
          <w:sz w:val="26"/>
        </w:rPr>
        <w:t>r was at least eighteen (18) years old when [he] [she] made the will.</w:t>
      </w:r>
    </w:p>
    <w:p w:rsidR="00000000" w:rsidRDefault="00A44CA5">
      <w:pPr>
        <w:widowControl w:val="0"/>
        <w:spacing w:line="360" w:lineRule="auto"/>
        <w:jc w:val="both"/>
        <w:rPr>
          <w:rFonts w:ascii="Bookman Old Style" w:hAnsi="Bookman Old Style"/>
          <w:snapToGrid w:val="0"/>
          <w:sz w:val="26"/>
        </w:rPr>
      </w:pPr>
    </w:p>
    <w:p w:rsidR="00000000" w:rsidRDefault="00A44CA5">
      <w:pPr>
        <w:widowControl w:val="0"/>
        <w:spacing w:line="360" w:lineRule="auto"/>
        <w:jc w:val="both"/>
        <w:rPr>
          <w:rFonts w:ascii="Bookman Old Style" w:hAnsi="Bookman Old Style"/>
          <w:snapToGrid w:val="0"/>
          <w:sz w:val="26"/>
        </w:rPr>
      </w:pPr>
      <w:r>
        <w:rPr>
          <w:rFonts w:ascii="Bookman Old Style" w:hAnsi="Bookman Old Style"/>
          <w:snapToGrid w:val="0"/>
          <w:sz w:val="26"/>
        </w:rPr>
        <w:t>If you decide that each of these three things is more likely true than not true then you must find that the Maker made [his] [her] will in the way the law requires and [return a verdict</w:t>
      </w:r>
      <w:r>
        <w:rPr>
          <w:rFonts w:ascii="Bookman Old Style" w:hAnsi="Bookman Old Style"/>
          <w:snapToGrid w:val="0"/>
          <w:sz w:val="26"/>
        </w:rPr>
        <w:t xml:space="preserve"> for the Proponent] [decide some additional matters that I will explain to you].  If you decide that the any one of these requirements has not been satisfied, then you must return a verdict for the Contestant.</w:t>
      </w:r>
    </w:p>
    <w:p w:rsidR="00000000" w:rsidRDefault="00A44CA5">
      <w:pPr>
        <w:widowControl w:val="0"/>
        <w:spacing w:line="408" w:lineRule="atLeast"/>
        <w:jc w:val="both"/>
        <w:rPr>
          <w:rFonts w:ascii="Bookman Old Style" w:hAnsi="Bookman Old Style"/>
          <w:snapToGrid w:val="0"/>
          <w:sz w:val="26"/>
        </w:rPr>
      </w:pPr>
    </w:p>
    <w:p w:rsidR="00000000" w:rsidRDefault="00A44CA5">
      <w:pPr>
        <w:widowControl w:val="0"/>
        <w:spacing w:line="408" w:lineRule="atLeast"/>
        <w:jc w:val="both"/>
        <w:rPr>
          <w:rFonts w:ascii="Bookman Old Style" w:hAnsi="Bookman Old Style"/>
          <w:snapToGrid w:val="0"/>
          <w:sz w:val="26"/>
        </w:rPr>
      </w:pPr>
    </w:p>
    <w:p w:rsidR="00000000" w:rsidRDefault="00A44CA5">
      <w:pPr>
        <w:widowControl w:val="0"/>
        <w:jc w:val="center"/>
        <w:rPr>
          <w:rFonts w:ascii="Bookman Old Style" w:hAnsi="Bookman Old Style"/>
          <w:snapToGrid w:val="0"/>
          <w:sz w:val="26"/>
        </w:rPr>
      </w:pPr>
      <w:r>
        <w:rPr>
          <w:rFonts w:ascii="Bookman Old Style" w:hAnsi="Bookman Old Style"/>
          <w:snapToGrid w:val="0"/>
          <w:sz w:val="26"/>
          <w:u w:val="single"/>
        </w:rPr>
        <w:t>Use Note</w:t>
      </w:r>
    </w:p>
    <w:p w:rsidR="00000000" w:rsidRDefault="00A44CA5">
      <w:pPr>
        <w:widowControl w:val="0"/>
        <w:jc w:val="both"/>
        <w:rPr>
          <w:rFonts w:ascii="Bookman Old Style" w:hAnsi="Bookman Old Style"/>
          <w:snapToGrid w:val="0"/>
          <w:sz w:val="26"/>
        </w:rPr>
      </w:pPr>
    </w:p>
    <w:p w:rsidR="00000000" w:rsidRDefault="00A44CA5">
      <w:pPr>
        <w:widowControl w:val="0"/>
        <w:jc w:val="both"/>
        <w:rPr>
          <w:rFonts w:ascii="Bookman Old Style" w:hAnsi="Bookman Old Style"/>
          <w:snapToGrid w:val="0"/>
          <w:sz w:val="26"/>
        </w:rPr>
      </w:pPr>
      <w:r>
        <w:rPr>
          <w:rFonts w:ascii="Bookman Old Style" w:hAnsi="Bookman Old Style"/>
          <w:snapToGrid w:val="0"/>
          <w:sz w:val="26"/>
        </w:rPr>
        <w:t>This instruction should be given o</w:t>
      </w:r>
      <w:r>
        <w:rPr>
          <w:rFonts w:ascii="Bookman Old Style" w:hAnsi="Bookman Old Style"/>
          <w:snapToGrid w:val="0"/>
          <w:sz w:val="26"/>
        </w:rPr>
        <w:t>nly when the validity of a holographic will is at issue.  The instruction for ordinary attested wills is provided in Instruction 26.04.</w:t>
      </w:r>
    </w:p>
    <w:p w:rsidR="00000000" w:rsidRDefault="00A44CA5">
      <w:pPr>
        <w:widowControl w:val="0"/>
        <w:jc w:val="both"/>
        <w:rPr>
          <w:rFonts w:ascii="Bookman Old Style" w:hAnsi="Bookman Old Style"/>
          <w:snapToGrid w:val="0"/>
          <w:sz w:val="26"/>
        </w:rPr>
      </w:pPr>
    </w:p>
    <w:p w:rsidR="00000000" w:rsidRDefault="00A44CA5">
      <w:pPr>
        <w:keepNext/>
        <w:keepLines/>
        <w:widowControl w:val="0"/>
        <w:jc w:val="center"/>
        <w:rPr>
          <w:rFonts w:ascii="Bookman Old Style" w:hAnsi="Bookman Old Style"/>
          <w:snapToGrid w:val="0"/>
          <w:sz w:val="26"/>
        </w:rPr>
      </w:pPr>
      <w:r>
        <w:rPr>
          <w:rFonts w:ascii="Bookman Old Style" w:hAnsi="Bookman Old Style"/>
          <w:snapToGrid w:val="0"/>
          <w:sz w:val="26"/>
          <w:u w:val="single"/>
        </w:rPr>
        <w:lastRenderedPageBreak/>
        <w:t>Comment</w:t>
      </w:r>
    </w:p>
    <w:p w:rsidR="00000000" w:rsidRDefault="00A44CA5">
      <w:pPr>
        <w:keepNext/>
        <w:keepLines/>
        <w:widowControl w:val="0"/>
        <w:jc w:val="both"/>
        <w:rPr>
          <w:rFonts w:ascii="Bookman Old Style" w:hAnsi="Bookman Old Style"/>
          <w:snapToGrid w:val="0"/>
          <w:sz w:val="26"/>
        </w:rPr>
      </w:pPr>
    </w:p>
    <w:p w:rsidR="00000000" w:rsidRDefault="00A44CA5">
      <w:pPr>
        <w:keepNext/>
        <w:keepLines/>
        <w:widowControl w:val="0"/>
        <w:jc w:val="both"/>
        <w:rPr>
          <w:rFonts w:ascii="Bookman Old Style" w:hAnsi="Bookman Old Style"/>
          <w:snapToGrid w:val="0"/>
          <w:sz w:val="26"/>
        </w:rPr>
      </w:pPr>
      <w:r>
        <w:rPr>
          <w:rFonts w:ascii="Bookman Old Style" w:hAnsi="Bookman Old Style"/>
          <w:snapToGrid w:val="0"/>
          <w:sz w:val="26"/>
        </w:rPr>
        <w:t>Section 13.11.160 of the Alaska Statutes provides:</w:t>
      </w:r>
    </w:p>
    <w:p w:rsidR="00000000" w:rsidRDefault="00A44CA5">
      <w:pPr>
        <w:widowControl w:val="0"/>
        <w:jc w:val="both"/>
        <w:rPr>
          <w:rFonts w:ascii="Bookman Old Style" w:hAnsi="Bookman Old Style"/>
          <w:snapToGrid w:val="0"/>
          <w:sz w:val="26"/>
        </w:rPr>
      </w:pPr>
    </w:p>
    <w:p w:rsidR="00000000" w:rsidRDefault="00A44CA5">
      <w:pPr>
        <w:widowControl w:val="0"/>
        <w:ind w:left="1440" w:right="1440"/>
        <w:jc w:val="both"/>
        <w:rPr>
          <w:rFonts w:ascii="Bookman Old Style" w:hAnsi="Bookman Old Style"/>
          <w:snapToGrid w:val="0"/>
          <w:sz w:val="26"/>
        </w:rPr>
      </w:pPr>
      <w:r>
        <w:rPr>
          <w:rFonts w:ascii="Bookman Old Style" w:hAnsi="Bookman Old Style"/>
          <w:snapToGrid w:val="0"/>
          <w:sz w:val="26"/>
        </w:rPr>
        <w:t>A will which does not comply with AS 13.11.155 [ordinary a</w:t>
      </w:r>
      <w:r>
        <w:rPr>
          <w:rFonts w:ascii="Bookman Old Style" w:hAnsi="Bookman Old Style"/>
          <w:snapToGrid w:val="0"/>
          <w:sz w:val="26"/>
        </w:rPr>
        <w:t xml:space="preserve">ttested wills] is valid as a holographic will, whether or not witnessed, if the </w:t>
      </w:r>
      <w:r>
        <w:rPr>
          <w:rFonts w:ascii="Bookman Old Style" w:hAnsi="Bookman Old Style"/>
          <w:snapToGrid w:val="0"/>
          <w:sz w:val="26"/>
          <w:u w:val="single"/>
        </w:rPr>
        <w:t>signature</w:t>
      </w:r>
      <w:r>
        <w:rPr>
          <w:rFonts w:ascii="Bookman Old Style" w:hAnsi="Bookman Old Style"/>
          <w:snapToGrid w:val="0"/>
          <w:sz w:val="26"/>
        </w:rPr>
        <w:t xml:space="preserve"> and the </w:t>
      </w:r>
      <w:r>
        <w:rPr>
          <w:rFonts w:ascii="Bookman Old Style" w:hAnsi="Bookman Old Style"/>
          <w:snapToGrid w:val="0"/>
          <w:sz w:val="26"/>
          <w:u w:val="single"/>
        </w:rPr>
        <w:t>material provisions</w:t>
      </w:r>
      <w:r>
        <w:rPr>
          <w:rFonts w:ascii="Bookman Old Style" w:hAnsi="Bookman Old Style"/>
          <w:snapToGrid w:val="0"/>
          <w:sz w:val="26"/>
        </w:rPr>
        <w:t xml:space="preserve"> are in the handwriting of the testator.</w:t>
      </w:r>
    </w:p>
    <w:p w:rsidR="00000000" w:rsidRDefault="00A44CA5">
      <w:pPr>
        <w:widowControl w:val="0"/>
        <w:jc w:val="both"/>
        <w:rPr>
          <w:rFonts w:ascii="Bookman Old Style" w:hAnsi="Bookman Old Style"/>
          <w:snapToGrid w:val="0"/>
          <w:sz w:val="26"/>
        </w:rPr>
      </w:pPr>
    </w:p>
    <w:p w:rsidR="00000000" w:rsidRDefault="00A44CA5">
      <w:pPr>
        <w:widowControl w:val="0"/>
        <w:jc w:val="both"/>
        <w:rPr>
          <w:rFonts w:ascii="Bookman Old Style" w:hAnsi="Bookman Old Style"/>
          <w:snapToGrid w:val="0"/>
          <w:sz w:val="26"/>
        </w:rPr>
      </w:pPr>
      <w:r>
        <w:rPr>
          <w:rFonts w:ascii="Bookman Old Style" w:hAnsi="Bookman Old Style"/>
          <w:snapToGrid w:val="0"/>
          <w:sz w:val="26"/>
        </w:rPr>
        <w:t>(Emphasis added).</w:t>
      </w:r>
      <w:r>
        <w:rPr>
          <w:rFonts w:ascii="Bookman Old Style" w:hAnsi="Bookman Old Style"/>
          <w:snapToGrid w:val="0"/>
          <w:sz w:val="26"/>
        </w:rPr>
        <w:tab/>
        <w:t xml:space="preserve">As with the provision on ordinary attested wills, Alaska Stat. 13.11.155, this </w:t>
      </w:r>
      <w:r>
        <w:rPr>
          <w:rFonts w:ascii="Bookman Old Style" w:hAnsi="Bookman Old Style"/>
          <w:snapToGrid w:val="0"/>
          <w:sz w:val="26"/>
        </w:rPr>
        <w:t>statute has been adopted from Uniform Probate Code (UPC) § 2-503.  The commentary to this UPC section offers some insight into the provisions:</w:t>
      </w:r>
    </w:p>
    <w:p w:rsidR="00000000" w:rsidRDefault="00A44CA5">
      <w:pPr>
        <w:widowControl w:val="0"/>
        <w:jc w:val="both"/>
        <w:rPr>
          <w:rFonts w:ascii="Bookman Old Style" w:hAnsi="Bookman Old Style"/>
          <w:snapToGrid w:val="0"/>
          <w:sz w:val="26"/>
        </w:rPr>
      </w:pPr>
    </w:p>
    <w:p w:rsidR="00000000" w:rsidRDefault="00A44CA5">
      <w:pPr>
        <w:widowControl w:val="0"/>
        <w:ind w:left="1440" w:right="1440"/>
        <w:jc w:val="both"/>
        <w:rPr>
          <w:rFonts w:ascii="Bookman Old Style" w:hAnsi="Bookman Old Style"/>
          <w:snapToGrid w:val="0"/>
          <w:sz w:val="26"/>
        </w:rPr>
      </w:pPr>
      <w:r>
        <w:rPr>
          <w:rFonts w:ascii="Bookman Old Style" w:hAnsi="Bookman Old Style"/>
          <w:snapToGrid w:val="0"/>
          <w:sz w:val="26"/>
        </w:rPr>
        <w:t>By requiring only the "material provisions" to be in the testator's handwriting (rather than requiring as some s</w:t>
      </w:r>
      <w:r>
        <w:rPr>
          <w:rFonts w:ascii="Bookman Old Style" w:hAnsi="Bookman Old Style"/>
          <w:snapToGrid w:val="0"/>
          <w:sz w:val="26"/>
        </w:rPr>
        <w:t xml:space="preserve">tatutes do, that the will be "entirely" in the testator's handwriting), a holograph may be valid, even though immaterial parts such as date or introductory wording be printed or stamped.  A valid holograph might even be executed on some printed will forms </w:t>
      </w:r>
      <w:r>
        <w:rPr>
          <w:rFonts w:ascii="Bookman Old Style" w:hAnsi="Bookman Old Style"/>
          <w:snapToGrid w:val="0"/>
          <w:sz w:val="26"/>
        </w:rPr>
        <w:t>if the printed portion could be eliminated and the handwritten portion could evidence the testator's will.</w:t>
      </w:r>
    </w:p>
    <w:p w:rsidR="00000000" w:rsidRDefault="00A44CA5">
      <w:pPr>
        <w:widowControl w:val="0"/>
        <w:jc w:val="both"/>
        <w:rPr>
          <w:rFonts w:ascii="Bookman Old Style" w:hAnsi="Bookman Old Style"/>
          <w:snapToGrid w:val="0"/>
          <w:sz w:val="26"/>
        </w:rPr>
      </w:pPr>
    </w:p>
    <w:p w:rsidR="00000000" w:rsidRDefault="00A44CA5">
      <w:pPr>
        <w:widowControl w:val="0"/>
        <w:jc w:val="both"/>
        <w:rPr>
          <w:rFonts w:ascii="Bookman Old Style" w:hAnsi="Bookman Old Style"/>
          <w:snapToGrid w:val="0"/>
          <w:sz w:val="26"/>
        </w:rPr>
      </w:pPr>
      <w:r>
        <w:rPr>
          <w:rFonts w:ascii="Bookman Old Style" w:hAnsi="Bookman Old Style"/>
          <w:snapToGrid w:val="0"/>
          <w:sz w:val="26"/>
        </w:rPr>
        <w:t>ALI-ABA Committee on Continuing Professional Education, 1 Uniform Probate Code Practice Manual § 2-503 (2d ed. 1977).  The quoted commentary from th</w:t>
      </w:r>
      <w:r>
        <w:rPr>
          <w:rFonts w:ascii="Bookman Old Style" w:hAnsi="Bookman Old Style"/>
          <w:snapToGrid w:val="0"/>
          <w:sz w:val="26"/>
        </w:rPr>
        <w:t xml:space="preserve">e UPC is perhaps more relevant and helpful than cases decided before its enactment by the Alaska legislature.  However, for pre-statehood material, see </w:t>
      </w:r>
      <w:r>
        <w:rPr>
          <w:rFonts w:ascii="Bookman Old Style" w:hAnsi="Bookman Old Style"/>
          <w:snapToGrid w:val="0"/>
          <w:sz w:val="26"/>
          <w:u w:val="single"/>
        </w:rPr>
        <w:t>Lovskog v. American Nat'l Red Cross</w:t>
      </w:r>
      <w:r>
        <w:rPr>
          <w:rFonts w:ascii="Bookman Old Style" w:hAnsi="Bookman Old Style"/>
          <w:snapToGrid w:val="0"/>
          <w:sz w:val="26"/>
        </w:rPr>
        <w:t xml:space="preserve">, 111 F.2d 88, 9 Alaska 670, (1940); </w:t>
      </w:r>
      <w:r>
        <w:rPr>
          <w:rFonts w:ascii="Bookman Old Style" w:hAnsi="Bookman Old Style"/>
          <w:snapToGrid w:val="0"/>
          <w:sz w:val="26"/>
          <w:u w:val="single"/>
        </w:rPr>
        <w:t>In re Holland's Estate</w:t>
      </w:r>
      <w:r>
        <w:rPr>
          <w:rFonts w:ascii="Bookman Old Style" w:hAnsi="Bookman Old Style"/>
          <w:snapToGrid w:val="0"/>
          <w:sz w:val="26"/>
        </w:rPr>
        <w:t>, 10 Alask</w:t>
      </w:r>
      <w:r>
        <w:rPr>
          <w:rFonts w:ascii="Bookman Old Style" w:hAnsi="Bookman Old Style"/>
          <w:snapToGrid w:val="0"/>
          <w:sz w:val="26"/>
        </w:rPr>
        <w:t xml:space="preserve">a 557 (1945); </w:t>
      </w:r>
      <w:r>
        <w:rPr>
          <w:rFonts w:ascii="Bookman Old Style" w:hAnsi="Bookman Old Style"/>
          <w:snapToGrid w:val="0"/>
          <w:sz w:val="26"/>
          <w:u w:val="single"/>
        </w:rPr>
        <w:t>In re Lanart's Estate</w:t>
      </w:r>
      <w:r>
        <w:rPr>
          <w:rFonts w:ascii="Bookman Old Style" w:hAnsi="Bookman Old Style"/>
          <w:snapToGrid w:val="0"/>
          <w:sz w:val="26"/>
        </w:rPr>
        <w:t>, 9 Alaska 535 (1939).</w:t>
      </w:r>
    </w:p>
    <w:p w:rsidR="00000000" w:rsidRDefault="00A44CA5">
      <w:pPr>
        <w:widowControl w:val="0"/>
        <w:jc w:val="both"/>
        <w:rPr>
          <w:rFonts w:ascii="Bookman Old Style" w:hAnsi="Bookman Old Style"/>
          <w:snapToGrid w:val="0"/>
          <w:sz w:val="26"/>
        </w:rPr>
      </w:pPr>
    </w:p>
    <w:p w:rsidR="00000000" w:rsidRDefault="00A44CA5">
      <w:pPr>
        <w:widowControl w:val="0"/>
        <w:jc w:val="both"/>
        <w:rPr>
          <w:rFonts w:ascii="Bookman Old Style" w:hAnsi="Bookman Old Style"/>
          <w:sz w:val="26"/>
        </w:rPr>
      </w:pPr>
      <w:r>
        <w:rPr>
          <w:rFonts w:ascii="Bookman Old Style" w:hAnsi="Bookman Old Style"/>
          <w:snapToGrid w:val="0"/>
          <w:sz w:val="26"/>
        </w:rPr>
        <w:t xml:space="preserve">Section 13.11.150 of the Alaska Statutes stipulates that "[a]ny person 18 or more years of age who is of sound mind may make a will."  This requirement has also been adapted from the UPC, § 2-501. </w:t>
      </w:r>
      <w:r>
        <w:rPr>
          <w:rFonts w:ascii="Bookman Old Style" w:hAnsi="Bookman Old Style"/>
          <w:snapToGrid w:val="0"/>
          <w:sz w:val="26"/>
        </w:rPr>
        <w:t xml:space="preserve"> While age requirements to make a will are usually discussed under the rubric of testamentary capacity, it is included here with the other statutory requirements for which the proponent has the burden of persuasion.</w:t>
      </w:r>
    </w:p>
    <w:sectPr w:rsidR="00000000">
      <w:footerReference w:type="default" r:id="rId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4CA5">
      <w:r>
        <w:separator/>
      </w:r>
    </w:p>
  </w:endnote>
  <w:endnote w:type="continuationSeparator" w:id="0">
    <w:p w:rsidR="00000000" w:rsidRDefault="00A44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4CA5">
    <w:pPr>
      <w:widowControl w:val="0"/>
      <w:tabs>
        <w:tab w:val="left" w:pos="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Bookman Old Style" w:hAnsi="Bookman Old Style"/>
        <w:snapToGrid w:val="0"/>
        <w:sz w:val="26"/>
      </w:rPr>
    </w:pPr>
    <w:r>
      <w:rPr>
        <w:rFonts w:ascii="Bookman Old Style" w:hAnsi="Bookman Old Style"/>
        <w:snapToGrid w:val="0"/>
        <w:sz w:val="26"/>
      </w:rPr>
      <w:t>Revised 1995</w:t>
    </w:r>
    <w:r>
      <w:rPr>
        <w:rFonts w:ascii="Bookman Old Style" w:hAnsi="Bookman Old Style"/>
        <w:snapToGrid w:val="0"/>
        <w:sz w:val="26"/>
      </w:rPr>
      <w:tab/>
      <w:t xml:space="preserve">26.05 - </w:t>
    </w:r>
    <w:r>
      <w:rPr>
        <w:rStyle w:val="PageNumber"/>
        <w:rFonts w:ascii="Bookman Old Style" w:hAnsi="Bookman Old Style"/>
        <w:sz w:val="26"/>
      </w:rPr>
      <w:fldChar w:fldCharType="begin"/>
    </w:r>
    <w:r>
      <w:rPr>
        <w:rStyle w:val="PageNumber"/>
        <w:rFonts w:ascii="Bookman Old Style" w:hAnsi="Bookman Old Style"/>
        <w:sz w:val="26"/>
      </w:rPr>
      <w:instrText xml:space="preserve"> PAGE </w:instrText>
    </w:r>
    <w:r>
      <w:rPr>
        <w:rStyle w:val="PageNumber"/>
        <w:rFonts w:ascii="Bookman Old Style" w:hAnsi="Bookman Old Style"/>
        <w:sz w:val="26"/>
      </w:rPr>
      <w:fldChar w:fldCharType="separate"/>
    </w:r>
    <w:r w:rsidR="0063046D">
      <w:rPr>
        <w:rStyle w:val="PageNumber"/>
        <w:rFonts w:ascii="Bookman Old Style" w:hAnsi="Bookman Old Style"/>
        <w:noProof/>
        <w:sz w:val="26"/>
      </w:rPr>
      <w:t>1</w:t>
    </w:r>
    <w:r>
      <w:rPr>
        <w:rStyle w:val="PageNumber"/>
        <w:rFonts w:ascii="Bookman Old Style" w:hAnsi="Bookman Old Style"/>
        <w:sz w:val="2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4CA5">
      <w:r>
        <w:separator/>
      </w:r>
    </w:p>
  </w:footnote>
  <w:footnote w:type="continuationSeparator" w:id="0">
    <w:p w:rsidR="00000000" w:rsidRDefault="00A44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46D"/>
    <w:rsid w:val="0063046D"/>
    <w:rsid w:val="00A44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08" w:lineRule="atLeast"/>
      <w:jc w:val="both"/>
    </w:pPr>
    <w:rPr>
      <w:rFonts w:ascii="Bookman Old Style" w:hAnsi="Bookman Old Style"/>
      <w:snapToGrid w:val="0"/>
      <w:sz w:val="26"/>
    </w:rPr>
  </w:style>
  <w:style w:type="character" w:styleId="PageNumber">
    <w:name w:val="page number"/>
    <w:basedOn w:val="DefaultParagraphFon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paragraph" w:styleId="BodyText">
    <w:name w:val="Body Text"/>
    <w:basedOn w:val="Normal"/>
    <w:semiHidden/>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408" w:lineRule="atLeast"/>
      <w:jc w:val="both"/>
    </w:pPr>
    <w:rPr>
      <w:rFonts w:ascii="Bookman Old Style" w:hAnsi="Bookman Old Style"/>
      <w:snapToGrid w:val="0"/>
      <w:sz w:val="26"/>
    </w:rPr>
  </w:style>
  <w:style w:type="character" w:styleId="PageNumber">
    <w:name w:val="page number"/>
    <w:basedOn w:val="DefaultParagraphFon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26</vt:lpstr>
    </vt:vector>
  </TitlesOfParts>
  <Company>Alaska Court System</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subject/>
  <dc:creator>Sandy</dc:creator>
  <cp:keywords/>
  <cp:lastModifiedBy>Michael Merrington</cp:lastModifiedBy>
  <cp:revision>3</cp:revision>
  <cp:lastPrinted>2000-09-06T16:43:00Z</cp:lastPrinted>
  <dcterms:created xsi:type="dcterms:W3CDTF">2017-04-04T18:52:00Z</dcterms:created>
  <dcterms:modified xsi:type="dcterms:W3CDTF">2017-04-04T18:52:00Z</dcterms:modified>
</cp:coreProperties>
</file>