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3C3D">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Bookman Old Style" w:hAnsi="Bookman Old Style"/>
          <w:sz w:val="26"/>
        </w:rPr>
      </w:pPr>
      <w:bookmarkStart w:id="0" w:name="_GoBack"/>
      <w:bookmarkEnd w:id="0"/>
      <w:r>
        <w:rPr>
          <w:rFonts w:ascii="Bookman Old Style" w:hAnsi="Bookman Old Style"/>
          <w:sz w:val="26"/>
        </w:rPr>
        <w:t>26.06</w:t>
      </w:r>
      <w:r>
        <w:rPr>
          <w:rFonts w:ascii="Bookman Old Style" w:hAnsi="Bookman Old Style"/>
          <w:sz w:val="26"/>
        </w:rPr>
        <w:tab/>
        <w:t>EXECUTION OF NUNCUPATIVE WILL FOR MARINER OR SOLDIER (SPOKEN WILL)</w:t>
      </w: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jc w:val="both"/>
        <w:rPr>
          <w:rFonts w:ascii="Bookman Old Style" w:hAnsi="Bookman Old Style"/>
          <w:snapToGrid w:val="0"/>
          <w:sz w:val="26"/>
        </w:rPr>
      </w:pPr>
      <w:r>
        <w:rPr>
          <w:rFonts w:ascii="Bookman Old Style" w:hAnsi="Bookman Old Style"/>
          <w:snapToGrid w:val="0"/>
          <w:sz w:val="26"/>
        </w:rPr>
        <w:t>In this case, a claim is made that the Maker made a spoken will by telling another person what the Maker wanted done with [his] [her] property at [his] [her] death and that this oth</w:t>
      </w:r>
      <w:r>
        <w:rPr>
          <w:rFonts w:ascii="Bookman Old Style" w:hAnsi="Bookman Old Style"/>
          <w:snapToGrid w:val="0"/>
          <w:sz w:val="26"/>
        </w:rPr>
        <w:t xml:space="preserve">er person wrote down what the Maker said. </w:t>
      </w: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jc w:val="both"/>
        <w:rPr>
          <w:rFonts w:ascii="Bookman Old Style" w:hAnsi="Bookman Old Style"/>
          <w:snapToGrid w:val="0"/>
          <w:sz w:val="26"/>
        </w:rPr>
      </w:pPr>
      <w:r>
        <w:rPr>
          <w:rFonts w:ascii="Bookman Old Style" w:hAnsi="Bookman Old Style"/>
          <w:snapToGrid w:val="0"/>
          <w:sz w:val="26"/>
        </w:rPr>
        <w:t>To make a valid spoken will, a person must make the will in the way that the law requires.  The Contestant claims that the Maker did not make [his] [her] spoken will in the required way; the Proponent claims that</w:t>
      </w:r>
      <w:r>
        <w:rPr>
          <w:rFonts w:ascii="Bookman Old Style" w:hAnsi="Bookman Old Style"/>
          <w:snapToGrid w:val="0"/>
          <w:sz w:val="26"/>
        </w:rPr>
        <w:t xml:space="preserve"> the Maker did.  I will now tell you how the law requires a person to make a spoken will.</w:t>
      </w: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jc w:val="both"/>
        <w:rPr>
          <w:rFonts w:ascii="Bookman Old Style" w:hAnsi="Bookman Old Style"/>
          <w:snapToGrid w:val="0"/>
          <w:sz w:val="26"/>
        </w:rPr>
      </w:pPr>
      <w:r>
        <w:rPr>
          <w:rFonts w:ascii="Bookman Old Style" w:hAnsi="Bookman Old Style"/>
          <w:snapToGrid w:val="0"/>
          <w:sz w:val="26"/>
        </w:rPr>
        <w:t>The law requires the following:</w:t>
      </w: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The Maker must have told another person what the Maker wanted done with [his] [her] property at [his] [her] death.</w:t>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othe</w:t>
      </w:r>
      <w:r>
        <w:rPr>
          <w:rFonts w:ascii="Bookman Old Style" w:hAnsi="Bookman Old Style"/>
          <w:snapToGrid w:val="0"/>
          <w:sz w:val="26"/>
        </w:rPr>
        <w:t>r person must have written down what the Maker said.</w:t>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[(3)</w:t>
      </w:r>
      <w:r>
        <w:rPr>
          <w:rFonts w:ascii="Bookman Old Style" w:hAnsi="Bookman Old Style"/>
          <w:snapToGrid w:val="0"/>
          <w:sz w:val="26"/>
        </w:rPr>
        <w:tab/>
        <w:t>The Maker must have been employed on a ship when [he] [her] made [his] [her] will.</w:t>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(4)</w:t>
      </w:r>
      <w:r>
        <w:rPr>
          <w:rFonts w:ascii="Bookman Old Style" w:hAnsi="Bookman Old Style"/>
          <w:snapToGrid w:val="0"/>
          <w:sz w:val="26"/>
        </w:rPr>
        <w:tab/>
        <w:t xml:space="preserve">The ship which the Maker was aboard must have been on water having a tide; if the water did not have a tide, </w:t>
      </w:r>
      <w:r>
        <w:rPr>
          <w:rFonts w:ascii="Bookman Old Style" w:hAnsi="Bookman Old Style"/>
          <w:snapToGrid w:val="0"/>
          <w:sz w:val="26"/>
        </w:rPr>
        <w:t>the ship that the Maker was on must have been on the water only temporarily.]</w:t>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lastRenderedPageBreak/>
        <w:t>[(3)</w:t>
      </w:r>
      <w:r>
        <w:rPr>
          <w:rFonts w:ascii="Bookman Old Style" w:hAnsi="Bookman Old Style"/>
          <w:snapToGrid w:val="0"/>
          <w:sz w:val="26"/>
        </w:rPr>
        <w:tab/>
        <w:t>The Maker must have been serving in the military service of [name of government] when [he] [she] made [his] [her] will.</w:t>
      </w:r>
      <w:r>
        <w:rPr>
          <w:rFonts w:ascii="Bookman Old Style" w:hAnsi="Bookman Old Style"/>
          <w:snapToGrid w:val="0"/>
          <w:sz w:val="26"/>
        </w:rPr>
        <w:tab/>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(4)</w:t>
      </w:r>
      <w:r>
        <w:rPr>
          <w:rFonts w:ascii="Bookman Old Style" w:hAnsi="Bookman Old Style"/>
          <w:snapToGrid w:val="0"/>
          <w:sz w:val="26"/>
        </w:rPr>
        <w:tab/>
        <w:t xml:space="preserve"> At the time the Maker made [his] [her] will, </w:t>
      </w:r>
      <w:r>
        <w:rPr>
          <w:rFonts w:ascii="Bookman Old Style" w:hAnsi="Bookman Old Style"/>
          <w:snapToGrid w:val="0"/>
          <w:sz w:val="26"/>
        </w:rPr>
        <w:t xml:space="preserve">there must have been a state of war. </w:t>
      </w:r>
      <w:r>
        <w:rPr>
          <w:rFonts w:ascii="Bookman Old Style" w:hAnsi="Bookman Old Style"/>
          <w:snapToGrid w:val="0"/>
          <w:sz w:val="26"/>
        </w:rPr>
        <w:tab/>
      </w:r>
    </w:p>
    <w:p w:rsidR="00000000" w:rsidRDefault="00FA3C3D">
      <w:pPr>
        <w:widowControl w:val="0"/>
        <w:spacing w:line="360" w:lineRule="auto"/>
        <w:ind w:left="720" w:hanging="720"/>
        <w:jc w:val="both"/>
        <w:rPr>
          <w:rFonts w:ascii="Bookman Old Style" w:hAnsi="Bookman Old Style"/>
          <w:snapToGrid w:val="0"/>
          <w:sz w:val="26"/>
        </w:rPr>
      </w:pPr>
    </w:p>
    <w:p w:rsidR="00000000" w:rsidRDefault="00FA3C3D">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(5)</w:t>
      </w:r>
      <w:r>
        <w:rPr>
          <w:rFonts w:ascii="Bookman Old Style" w:hAnsi="Bookman Old Style"/>
          <w:snapToGrid w:val="0"/>
          <w:sz w:val="26"/>
        </w:rPr>
        <w:tab/>
        <w:t>The Maker must have been actively involved in the war.]</w:t>
      </w:r>
    </w:p>
    <w:p w:rsidR="00000000" w:rsidRDefault="00FA3C3D">
      <w:pPr>
        <w:widowControl w:val="0"/>
        <w:spacing w:line="360" w:lineRule="auto"/>
        <w:jc w:val="both"/>
        <w:rPr>
          <w:rFonts w:ascii="Bookman Old Style" w:hAnsi="Bookman Old Style"/>
          <w:snapToGrid w:val="0"/>
          <w:sz w:val="26"/>
        </w:rPr>
      </w:pPr>
    </w:p>
    <w:p w:rsidR="00000000" w:rsidRDefault="00FA3C3D">
      <w:pPr>
        <w:widowControl w:val="0"/>
        <w:spacing w:line="360" w:lineRule="auto"/>
        <w:jc w:val="both"/>
        <w:rPr>
          <w:rFonts w:ascii="Bookman Old Style" w:hAnsi="Bookman Old Style"/>
          <w:snapToGrid w:val="0"/>
          <w:sz w:val="26"/>
        </w:rPr>
      </w:pPr>
      <w:r>
        <w:rPr>
          <w:rFonts w:ascii="Bookman Old Style" w:hAnsi="Bookman Old Style"/>
          <w:snapToGrid w:val="0"/>
          <w:sz w:val="26"/>
        </w:rPr>
        <w:t>For the Proponent to win on this claim, you must decide that it is more likely than not that the Maker made [his] [her] will in the way that the law requir</w:t>
      </w:r>
      <w:r>
        <w:rPr>
          <w:rFonts w:ascii="Bookman Old Style" w:hAnsi="Bookman Old Style"/>
          <w:snapToGrid w:val="0"/>
          <w:sz w:val="26"/>
        </w:rPr>
        <w:t xml:space="preserve">es.  If you decide that it is more likely than not that all of these requirements have been satisfied, then you must find that the Maker made [his] [her] will in the required way.  If you decide that any of these requirements have not been satisfied, then </w:t>
      </w:r>
      <w:r>
        <w:rPr>
          <w:rFonts w:ascii="Bookman Old Style" w:hAnsi="Bookman Old Style"/>
          <w:snapToGrid w:val="0"/>
          <w:sz w:val="26"/>
        </w:rPr>
        <w:t xml:space="preserve">you must return a verdict for the Contestant. </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p>
    <w:p w:rsidR="00000000" w:rsidRDefault="00FA3C3D">
      <w:pPr>
        <w:widowControl w:val="0"/>
        <w:jc w:val="center"/>
        <w:rPr>
          <w:rFonts w:ascii="Bookman Old Style" w:hAnsi="Bookman Old Style"/>
          <w:snapToGrid w:val="0"/>
          <w:sz w:val="26"/>
        </w:rPr>
      </w:pPr>
      <w:r>
        <w:rPr>
          <w:rFonts w:ascii="Bookman Old Style" w:hAnsi="Bookman Old Style"/>
          <w:snapToGrid w:val="0"/>
          <w:sz w:val="26"/>
          <w:u w:val="single"/>
        </w:rPr>
        <w:t>Use Note</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This instruction was not revised in 1995, except to make the language gender neutral and to replace the terms "Challenger" and "Supporter" with "Contestant" and "Proponent."</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This instruction shoul</w:t>
      </w:r>
      <w:r>
        <w:rPr>
          <w:rFonts w:ascii="Bookman Old Style" w:hAnsi="Bookman Old Style"/>
          <w:snapToGrid w:val="0"/>
          <w:sz w:val="26"/>
        </w:rPr>
        <w:t>d be given when the contest involves the issue of execution of a nuncupative will.  This instruction should be used after Instructions 26.01, 26.02, and 26.03.</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 xml:space="preserve">The first bracketed material is to be used when the testator is allegedly a </w:t>
      </w:r>
      <w:r>
        <w:rPr>
          <w:rFonts w:ascii="Bookman Old Style" w:hAnsi="Bookman Old Style"/>
          <w:snapToGrid w:val="0"/>
          <w:sz w:val="26"/>
          <w:u w:val="single"/>
        </w:rPr>
        <w:t>sailor</w:t>
      </w:r>
      <w:r>
        <w:rPr>
          <w:rFonts w:ascii="Bookman Old Style" w:hAnsi="Bookman Old Style"/>
          <w:snapToGrid w:val="0"/>
          <w:sz w:val="26"/>
        </w:rPr>
        <w:t>.  When the t</w:t>
      </w:r>
      <w:r>
        <w:rPr>
          <w:rFonts w:ascii="Bookman Old Style" w:hAnsi="Bookman Old Style"/>
          <w:snapToGrid w:val="0"/>
          <w:sz w:val="26"/>
        </w:rPr>
        <w:t>estator is allegedly a soldier, use the second bracketed material.</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The judge should list only the numbered requirements which are at issue in the case.</w:t>
      </w:r>
    </w:p>
    <w:p w:rsidR="00000000" w:rsidRDefault="00FA3C3D">
      <w:pPr>
        <w:widowControl w:val="0"/>
        <w:jc w:val="both"/>
        <w:rPr>
          <w:rFonts w:ascii="Bookman Old Style" w:hAnsi="Bookman Old Style"/>
          <w:snapToGrid w:val="0"/>
          <w:sz w:val="26"/>
        </w:rPr>
      </w:pPr>
    </w:p>
    <w:p w:rsidR="00000000" w:rsidRDefault="00FA3C3D">
      <w:pPr>
        <w:widowControl w:val="0"/>
        <w:jc w:val="center"/>
        <w:rPr>
          <w:rFonts w:ascii="Bookman Old Style" w:hAnsi="Bookman Old Style"/>
          <w:snapToGrid w:val="0"/>
          <w:sz w:val="26"/>
        </w:rPr>
      </w:pPr>
      <w:r>
        <w:rPr>
          <w:rFonts w:ascii="Bookman Old Style" w:hAnsi="Bookman Old Style"/>
          <w:snapToGrid w:val="0"/>
          <w:sz w:val="26"/>
          <w:u w:val="single"/>
        </w:rPr>
        <w:lastRenderedPageBreak/>
        <w:t>Comment</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Section 13.11.158 of the Alaska Statutes, a virtual copy of Section 4621 of the Compiled Laws</w:t>
      </w:r>
      <w:r>
        <w:rPr>
          <w:rFonts w:ascii="Bookman Old Style" w:hAnsi="Bookman Old Style"/>
          <w:snapToGrid w:val="0"/>
          <w:sz w:val="26"/>
        </w:rPr>
        <w:t xml:space="preserve"> of Alaska of 1933, provides:  "A mariner at sea, or a soldier in the military service, may dispose of his wages or other personal property as he might have done by common law, or by reducing the same to writing (emphasis added)."  The instruction on nuncu</w:t>
      </w:r>
      <w:r>
        <w:rPr>
          <w:rFonts w:ascii="Bookman Old Style" w:hAnsi="Bookman Old Style"/>
          <w:snapToGrid w:val="0"/>
          <w:sz w:val="26"/>
        </w:rPr>
        <w:t>pative wills reflects the requirements embodied in the statute and those existing in the common law.</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To make a valid sailor's will at common law, it is required that a person be employed on a ship which is in tidal water or is in nontidal water for a temp</w:t>
      </w:r>
      <w:r>
        <w:rPr>
          <w:rFonts w:ascii="Bookman Old Style" w:hAnsi="Bookman Old Style"/>
          <w:snapToGrid w:val="0"/>
          <w:sz w:val="26"/>
        </w:rPr>
        <w:t xml:space="preserve">orary purpose.  </w:t>
      </w:r>
      <w:r>
        <w:rPr>
          <w:rFonts w:ascii="Bookman Old Style" w:hAnsi="Bookman Old Style"/>
          <w:snapToGrid w:val="0"/>
          <w:sz w:val="26"/>
          <w:u w:val="single"/>
        </w:rPr>
        <w:t>In</w:t>
      </w:r>
      <w:r>
        <w:rPr>
          <w:rFonts w:ascii="Bookman Old Style" w:hAnsi="Bookman Old Style"/>
          <w:snapToGrid w:val="0"/>
          <w:sz w:val="26"/>
        </w:rPr>
        <w:t xml:space="preserve"> </w:t>
      </w:r>
      <w:r>
        <w:rPr>
          <w:rFonts w:ascii="Bookman Old Style" w:hAnsi="Bookman Old Style"/>
          <w:snapToGrid w:val="0"/>
          <w:sz w:val="26"/>
          <w:u w:val="single"/>
        </w:rPr>
        <w:t>re</w:t>
      </w:r>
      <w:r>
        <w:rPr>
          <w:rFonts w:ascii="Bookman Old Style" w:hAnsi="Bookman Old Style"/>
          <w:snapToGrid w:val="0"/>
          <w:sz w:val="26"/>
        </w:rPr>
        <w:t xml:space="preserve"> </w:t>
      </w:r>
      <w:r>
        <w:rPr>
          <w:rFonts w:ascii="Bookman Old Style" w:hAnsi="Bookman Old Style"/>
          <w:snapToGrid w:val="0"/>
          <w:sz w:val="26"/>
          <w:u w:val="single"/>
        </w:rPr>
        <w:t>Gavin's</w:t>
      </w:r>
      <w:r>
        <w:rPr>
          <w:rFonts w:ascii="Bookman Old Style" w:hAnsi="Bookman Old Style"/>
          <w:snapToGrid w:val="0"/>
          <w:sz w:val="26"/>
        </w:rPr>
        <w:t xml:space="preserve"> </w:t>
      </w:r>
      <w:r>
        <w:rPr>
          <w:rFonts w:ascii="Bookman Old Style" w:hAnsi="Bookman Old Style"/>
          <w:snapToGrid w:val="0"/>
          <w:sz w:val="26"/>
          <w:u w:val="single"/>
        </w:rPr>
        <w:t>Will</w:t>
      </w:r>
      <w:r>
        <w:rPr>
          <w:rFonts w:ascii="Bookman Old Style" w:hAnsi="Bookman Old Style"/>
          <w:snapToGrid w:val="0"/>
          <w:sz w:val="26"/>
        </w:rPr>
        <w:t xml:space="preserve">, 1 Tuck. (N.Y.) 44 (1865) (captain of gunboat on Yazoo River not at sea).  </w:t>
      </w:r>
      <w:r>
        <w:rPr>
          <w:rFonts w:ascii="Bookman Old Style" w:hAnsi="Bookman Old Style"/>
          <w:snapToGrid w:val="0"/>
          <w:sz w:val="26"/>
          <w:u w:val="single"/>
        </w:rPr>
        <w:t>See</w:t>
      </w:r>
      <w:r>
        <w:rPr>
          <w:rFonts w:ascii="Bookman Old Style" w:hAnsi="Bookman Old Style"/>
          <w:snapToGrid w:val="0"/>
          <w:sz w:val="26"/>
        </w:rPr>
        <w:t xml:space="preserve"> </w:t>
      </w:r>
      <w:r>
        <w:rPr>
          <w:rFonts w:ascii="Bookman Old Style" w:hAnsi="Bookman Old Style"/>
          <w:snapToGrid w:val="0"/>
          <w:sz w:val="26"/>
          <w:u w:val="single"/>
        </w:rPr>
        <w:t>generally</w:t>
      </w:r>
      <w:r>
        <w:rPr>
          <w:rFonts w:ascii="Bookman Old Style" w:hAnsi="Bookman Old Style"/>
          <w:snapToGrid w:val="0"/>
          <w:sz w:val="26"/>
        </w:rPr>
        <w:t xml:space="preserve">, T. Atkinson, </w:t>
      </w:r>
      <w:r>
        <w:rPr>
          <w:rFonts w:ascii="Bookman Old Style" w:hAnsi="Bookman Old Style"/>
          <w:snapToGrid w:val="0"/>
          <w:sz w:val="26"/>
          <w:u w:val="single"/>
        </w:rPr>
        <w:t>Handbook of the Law of Wills</w:t>
      </w:r>
      <w:r>
        <w:rPr>
          <w:rFonts w:ascii="Bookman Old Style" w:hAnsi="Bookman Old Style"/>
          <w:snapToGrid w:val="0"/>
          <w:sz w:val="26"/>
        </w:rPr>
        <w:t xml:space="preserve"> §§  76, 77 (2d ed. 1953 2 Bowe-Parker, </w:t>
      </w:r>
      <w:r>
        <w:rPr>
          <w:rFonts w:ascii="Bookman Old Style" w:hAnsi="Bookman Old Style"/>
          <w:snapToGrid w:val="0"/>
          <w:sz w:val="26"/>
          <w:u w:val="single"/>
        </w:rPr>
        <w:t>Page on Wills</w:t>
      </w:r>
      <w:r>
        <w:rPr>
          <w:rFonts w:ascii="Bookman Old Style" w:hAnsi="Bookman Old Style"/>
          <w:snapToGrid w:val="0"/>
          <w:sz w:val="26"/>
        </w:rPr>
        <w:t xml:space="preserve"> §§  20.13-30 (3d ed. rev. 1960).  Th</w:t>
      </w:r>
      <w:r>
        <w:rPr>
          <w:rFonts w:ascii="Bookman Old Style" w:hAnsi="Bookman Old Style"/>
          <w:snapToGrid w:val="0"/>
          <w:sz w:val="26"/>
        </w:rPr>
        <w:t xml:space="preserve">is seemingly would be the requirement under Alaska law, despite the paucity of Alaska cases in this area.  There is only one reported Alaska Supreme Court case dealing with nuncupative wills.  </w:t>
      </w:r>
      <w:r>
        <w:rPr>
          <w:rFonts w:ascii="Bookman Old Style" w:hAnsi="Bookman Old Style"/>
          <w:snapToGrid w:val="0"/>
          <w:sz w:val="26"/>
          <w:u w:val="single"/>
        </w:rPr>
        <w:t>See</w:t>
      </w:r>
      <w:r>
        <w:rPr>
          <w:rFonts w:ascii="Bookman Old Style" w:hAnsi="Bookman Old Style"/>
          <w:snapToGrid w:val="0"/>
          <w:sz w:val="26"/>
        </w:rPr>
        <w:t xml:space="preserve"> </w:t>
      </w:r>
      <w:r>
        <w:rPr>
          <w:rFonts w:ascii="Bookman Old Style" w:hAnsi="Bookman Old Style"/>
          <w:snapToGrid w:val="0"/>
          <w:sz w:val="26"/>
          <w:u w:val="single"/>
        </w:rPr>
        <w:t>In re Bradley's Estate</w:t>
      </w:r>
      <w:r>
        <w:rPr>
          <w:rFonts w:ascii="Bookman Old Style" w:hAnsi="Bookman Old Style"/>
          <w:snapToGrid w:val="0"/>
          <w:sz w:val="26"/>
        </w:rPr>
        <w:t xml:space="preserve">, 10 Alaska 610 (1945) (holding that </w:t>
      </w:r>
      <w:r>
        <w:rPr>
          <w:rFonts w:ascii="Bookman Old Style" w:hAnsi="Bookman Old Style"/>
          <w:snapToGrid w:val="0"/>
          <w:sz w:val="26"/>
        </w:rPr>
        <w:t>a nuncupative will was invalid for every purpose when testator was neither a soldier in active military service nor a mariner at sea at time of making the will).</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With regards to a valid soldier's will, the testator must be in actual military service.  Cou</w:t>
      </w:r>
      <w:r>
        <w:rPr>
          <w:rFonts w:ascii="Bookman Old Style" w:hAnsi="Bookman Old Style"/>
          <w:snapToGrid w:val="0"/>
          <w:sz w:val="26"/>
        </w:rPr>
        <w:t xml:space="preserve">rts have interpreted "actual military service" to require two facts:  these must be a state of war and the soldier must be actively involved in pursuing it.  </w:t>
      </w:r>
      <w:r>
        <w:rPr>
          <w:rFonts w:ascii="Bookman Old Style" w:hAnsi="Bookman Old Style"/>
          <w:snapToGrid w:val="0"/>
          <w:sz w:val="26"/>
          <w:u w:val="single"/>
        </w:rPr>
        <w:t>See</w:t>
      </w:r>
      <w:r>
        <w:rPr>
          <w:rFonts w:ascii="Bookman Old Style" w:hAnsi="Bookman Old Style"/>
          <w:snapToGrid w:val="0"/>
          <w:sz w:val="26"/>
        </w:rPr>
        <w:t xml:space="preserve">, </w:t>
      </w:r>
      <w:r>
        <w:rPr>
          <w:rFonts w:ascii="Bookman Old Style" w:hAnsi="Bookman Old Style"/>
          <w:snapToGrid w:val="0"/>
          <w:sz w:val="26"/>
          <w:u w:val="single"/>
        </w:rPr>
        <w:t>e.g.</w:t>
      </w:r>
      <w:r>
        <w:rPr>
          <w:rFonts w:ascii="Bookman Old Style" w:hAnsi="Bookman Old Style"/>
          <w:snapToGrid w:val="0"/>
          <w:sz w:val="26"/>
        </w:rPr>
        <w:t xml:space="preserve">, </w:t>
      </w:r>
      <w:r>
        <w:rPr>
          <w:rFonts w:ascii="Bookman Old Style" w:hAnsi="Bookman Old Style"/>
          <w:snapToGrid w:val="0"/>
          <w:sz w:val="26"/>
          <w:u w:val="single"/>
        </w:rPr>
        <w:t>Drummond v. Parrish</w:t>
      </w:r>
      <w:r>
        <w:rPr>
          <w:rFonts w:ascii="Bookman Old Style" w:hAnsi="Bookman Old Style"/>
          <w:snapToGrid w:val="0"/>
          <w:sz w:val="26"/>
        </w:rPr>
        <w:t xml:space="preserve">, 3 Curt. 522, 163 Eng. Rep. 812 (1843).  </w:t>
      </w:r>
      <w:r>
        <w:rPr>
          <w:rFonts w:ascii="Bookman Old Style" w:hAnsi="Bookman Old Style"/>
          <w:snapToGrid w:val="0"/>
          <w:sz w:val="26"/>
          <w:u w:val="single"/>
        </w:rPr>
        <w:t>See</w:t>
      </w:r>
      <w:r>
        <w:rPr>
          <w:rFonts w:ascii="Bookman Old Style" w:hAnsi="Bookman Old Style"/>
          <w:snapToGrid w:val="0"/>
          <w:sz w:val="26"/>
        </w:rPr>
        <w:t xml:space="preserve"> </w:t>
      </w:r>
      <w:r>
        <w:rPr>
          <w:rFonts w:ascii="Bookman Old Style" w:hAnsi="Bookman Old Style"/>
          <w:snapToGrid w:val="0"/>
          <w:sz w:val="26"/>
          <w:u w:val="single"/>
        </w:rPr>
        <w:t>generally</w:t>
      </w:r>
      <w:r>
        <w:rPr>
          <w:rFonts w:ascii="Bookman Old Style" w:hAnsi="Bookman Old Style"/>
          <w:snapToGrid w:val="0"/>
          <w:sz w:val="26"/>
        </w:rPr>
        <w:t xml:space="preserve">, Megany, </w:t>
      </w:r>
      <w:r>
        <w:rPr>
          <w:rFonts w:ascii="Bookman Old Style" w:hAnsi="Bookman Old Style"/>
          <w:snapToGrid w:val="0"/>
          <w:sz w:val="26"/>
          <w:u w:val="single"/>
        </w:rPr>
        <w:t>Act</w:t>
      </w:r>
      <w:r>
        <w:rPr>
          <w:rFonts w:ascii="Bookman Old Style" w:hAnsi="Bookman Old Style"/>
          <w:snapToGrid w:val="0"/>
          <w:sz w:val="26"/>
          <w:u w:val="single"/>
        </w:rPr>
        <w:t>ual Military Service and Soldiers' Privileged Wills</w:t>
      </w:r>
      <w:r>
        <w:rPr>
          <w:rFonts w:ascii="Bookman Old Style" w:hAnsi="Bookman Old Style"/>
          <w:snapToGrid w:val="0"/>
          <w:sz w:val="26"/>
        </w:rPr>
        <w:t xml:space="preserve">, 57 L.Q.R. 481 (1941); Powell, </w:t>
      </w:r>
      <w:r>
        <w:rPr>
          <w:rFonts w:ascii="Bookman Old Style" w:hAnsi="Bookman Old Style"/>
          <w:snapToGrid w:val="0"/>
          <w:sz w:val="26"/>
          <w:u w:val="single"/>
        </w:rPr>
        <w:t>Actual Military Service</w:t>
      </w:r>
      <w:r>
        <w:rPr>
          <w:rFonts w:ascii="Bookman Old Style" w:hAnsi="Bookman Old Style"/>
          <w:snapToGrid w:val="0"/>
          <w:sz w:val="26"/>
        </w:rPr>
        <w:t xml:space="preserve">, 61 Jurid. Rev. 172 (1949); Weiss, </w:t>
      </w:r>
      <w:r>
        <w:rPr>
          <w:rFonts w:ascii="Bookman Old Style" w:hAnsi="Bookman Old Style"/>
          <w:snapToGrid w:val="0"/>
          <w:sz w:val="26"/>
          <w:u w:val="single"/>
        </w:rPr>
        <w:t>The Formalities of Testamentary Execution by Service Personnel</w:t>
      </w:r>
      <w:r>
        <w:rPr>
          <w:rFonts w:ascii="Bookman Old Style" w:hAnsi="Bookman Old Style"/>
          <w:snapToGrid w:val="0"/>
          <w:sz w:val="26"/>
        </w:rPr>
        <w:t>, 33 Iowa L. Rev. 48 (1947).</w:t>
      </w:r>
    </w:p>
    <w:p w:rsidR="00000000" w:rsidRDefault="00FA3C3D">
      <w:pPr>
        <w:widowControl w:val="0"/>
        <w:jc w:val="both"/>
        <w:rPr>
          <w:rFonts w:ascii="Bookman Old Style" w:hAnsi="Bookman Old Style"/>
          <w:snapToGrid w:val="0"/>
          <w:sz w:val="26"/>
        </w:rPr>
      </w:pPr>
    </w:p>
    <w:p w:rsidR="00000000" w:rsidRDefault="00FA3C3D">
      <w:pPr>
        <w:widowControl w:val="0"/>
        <w:jc w:val="both"/>
        <w:rPr>
          <w:rFonts w:ascii="Bookman Old Style" w:hAnsi="Bookman Old Style"/>
          <w:snapToGrid w:val="0"/>
          <w:sz w:val="26"/>
        </w:rPr>
      </w:pPr>
      <w:r>
        <w:rPr>
          <w:rFonts w:ascii="Bookman Old Style" w:hAnsi="Bookman Old Style"/>
          <w:snapToGrid w:val="0"/>
          <w:sz w:val="26"/>
        </w:rPr>
        <w:t>In light of courts' ge</w:t>
      </w:r>
      <w:r>
        <w:rPr>
          <w:rFonts w:ascii="Bookman Old Style" w:hAnsi="Bookman Old Style"/>
          <w:snapToGrid w:val="0"/>
          <w:sz w:val="26"/>
        </w:rPr>
        <w:t>neral hostility towards oral wills, it seems doubtful that there will be much litigation in this area.  Nonetheless, it may be helpful to keep in mind the remaining provisions of § 13.11.158 of the Alaska Statutes dealing with the proof and probate of a nu</w:t>
      </w:r>
      <w:r>
        <w:rPr>
          <w:rFonts w:ascii="Bookman Old Style" w:hAnsi="Bookman Old Style"/>
          <w:snapToGrid w:val="0"/>
          <w:sz w:val="26"/>
        </w:rPr>
        <w:t>ncupative will:</w:t>
      </w:r>
    </w:p>
    <w:p w:rsidR="00000000" w:rsidRDefault="00FA3C3D">
      <w:pPr>
        <w:widowControl w:val="0"/>
        <w:jc w:val="both"/>
        <w:rPr>
          <w:rFonts w:ascii="Bookman Old Style" w:hAnsi="Bookman Old Style"/>
          <w:snapToGrid w:val="0"/>
          <w:sz w:val="26"/>
        </w:rPr>
      </w:pPr>
    </w:p>
    <w:p w:rsidR="00000000" w:rsidRDefault="00FA3C3D">
      <w:pPr>
        <w:pStyle w:val="BlockText"/>
        <w:numPr>
          <w:ilvl w:val="0"/>
          <w:numId w:val="1"/>
        </w:numPr>
        <w:tabs>
          <w:tab w:val="clear" w:pos="2160"/>
          <w:tab w:val="num" w:pos="720"/>
        </w:tabs>
        <w:spacing w:line="240" w:lineRule="exact"/>
        <w:ind w:left="720" w:right="720"/>
      </w:pPr>
      <w:r>
        <w:t>No proof of a nuncupative will shall be received unless it is offered within six months after speaking the testamentary words, or unless the words, or the substance of the words, were reduced to writing within 30 days after they were spoke</w:t>
      </w:r>
      <w:r>
        <w:t>n.</w:t>
      </w:r>
    </w:p>
    <w:p w:rsidR="00000000" w:rsidRDefault="00FA3C3D">
      <w:pPr>
        <w:widowControl w:val="0"/>
        <w:tabs>
          <w:tab w:val="num" w:pos="720"/>
        </w:tabs>
        <w:ind w:left="720" w:right="720" w:hanging="720"/>
        <w:jc w:val="both"/>
        <w:rPr>
          <w:rFonts w:ascii="Bookman Old Style" w:hAnsi="Bookman Old Style"/>
          <w:snapToGrid w:val="0"/>
          <w:sz w:val="26"/>
        </w:rPr>
      </w:pPr>
    </w:p>
    <w:p w:rsidR="00000000" w:rsidRDefault="00FA3C3D">
      <w:pPr>
        <w:widowControl w:val="0"/>
        <w:tabs>
          <w:tab w:val="num" w:pos="720"/>
        </w:tabs>
        <w:ind w:left="720" w:right="720" w:hanging="720"/>
        <w:jc w:val="both"/>
        <w:rPr>
          <w:rFonts w:ascii="Bookman Old Style" w:hAnsi="Bookman Old Style"/>
          <w:snapToGrid w:val="0"/>
          <w:sz w:val="26"/>
        </w:rPr>
      </w:pPr>
      <w:r>
        <w:rPr>
          <w:rFonts w:ascii="Bookman Old Style" w:hAnsi="Bookman Old Style"/>
          <w:snapToGrid w:val="0"/>
          <w:sz w:val="26"/>
        </w:rPr>
        <w:t>(c)</w:t>
      </w:r>
      <w:r>
        <w:rPr>
          <w:rFonts w:ascii="Bookman Old Style" w:hAnsi="Bookman Old Style"/>
          <w:snapToGrid w:val="0"/>
          <w:sz w:val="26"/>
        </w:rPr>
        <w:tab/>
        <w:t>No probate of a nuncupative will is granted for 14 days after the death of the testator, nor shall a nuncupative will be at any time proved, unless the testamentary words, or the substance of the testamentary words are first committed to writing, a</w:t>
      </w:r>
      <w:r>
        <w:rPr>
          <w:rFonts w:ascii="Bookman Old Style" w:hAnsi="Bookman Old Style"/>
          <w:snapToGrid w:val="0"/>
          <w:sz w:val="26"/>
        </w:rPr>
        <w:t>nd a citation issued, accompanied with a copy thereof, to call the widow or next of kin to the deceased so they may contest the will if they think proper.</w:t>
      </w:r>
    </w:p>
    <w:p w:rsidR="00000000" w:rsidRDefault="00FA3C3D">
      <w:pPr>
        <w:widowControl w:val="0"/>
        <w:jc w:val="both"/>
        <w:rPr>
          <w:rFonts w:ascii="Bookman Old Style" w:hAnsi="Bookman Old Style"/>
          <w:snapToGrid w:val="0"/>
          <w:sz w:val="26"/>
        </w:rPr>
      </w:pPr>
    </w:p>
    <w:p w:rsidR="00000000" w:rsidRDefault="00FA3C3D">
      <w:pPr>
        <w:pStyle w:val="BodyText"/>
      </w:pPr>
      <w:r>
        <w:t>It is thought that, under § 13.11.158(b) and (c), questions relating to proof and probate of a nuncu</w:t>
      </w:r>
      <w:r>
        <w:t>pative will are preliminary questions for the judge, who may take judicial notice of "indisputable facts."  Alaska R. Evid. 201.</w:t>
      </w:r>
    </w:p>
    <w:sectPr w:rsidR="00000000">
      <w:headerReference w:type="even" r:id="rId8"/>
      <w:headerReference w:type="default" r:id="rId9"/>
      <w:footerReference w:type="default" r:id="rId10"/>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3C3D">
      <w:r>
        <w:separator/>
      </w:r>
    </w:p>
  </w:endnote>
  <w:endnote w:type="continuationSeparator" w:id="0">
    <w:p w:rsidR="00000000" w:rsidRDefault="00FA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C3D">
    <w:pPr>
      <w:widowControl w:val="0"/>
      <w:tabs>
        <w:tab w:val="right" w:pos="9360"/>
      </w:tabs>
      <w:jc w:val="both"/>
      <w:rPr>
        <w:rFonts w:ascii="Bookman Old Style" w:hAnsi="Bookman Old Style"/>
        <w:snapToGrid w:val="0"/>
        <w:sz w:val="26"/>
      </w:rPr>
    </w:pPr>
    <w:r>
      <w:rPr>
        <w:rFonts w:ascii="Bookman Old Style" w:hAnsi="Bookman Old Style"/>
        <w:snapToGrid w:val="0"/>
        <w:sz w:val="26"/>
      </w:rPr>
      <w:t>Revised 1995</w:t>
    </w:r>
    <w:r>
      <w:rPr>
        <w:rFonts w:ascii="Bookman Old Style" w:hAnsi="Bookman Old Style"/>
        <w:snapToGrid w:val="0"/>
        <w:sz w:val="26"/>
      </w:rPr>
      <w:tab/>
      <w:t xml:space="preserve">26.06 -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CB6B65">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3C3D">
      <w:r>
        <w:separator/>
      </w:r>
    </w:p>
  </w:footnote>
  <w:footnote w:type="continuationSeparator" w:id="0">
    <w:p w:rsidR="00000000" w:rsidRDefault="00FA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C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Chicago" w:hAnsi="Chicago"/>
        <w:snapToGrid w:val="0"/>
        <w:sz w:val="24"/>
      </w:rPr>
    </w:pPr>
    <w:r>
      <w:rPr>
        <w:rFonts w:ascii="Courier" w:hAnsi="Courier"/>
        <w:snapToGrid w:val="0"/>
        <w:sz w:val="24"/>
      </w:rPr>
      <w:t>26.06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3C3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rFonts w:ascii="Chicago" w:hAnsi="Chicago"/>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7EA2"/>
    <w:multiLevelType w:val="singleLevel"/>
    <w:tmpl w:val="DF88EAB2"/>
    <w:lvl w:ilvl="0">
      <w:start w:val="2"/>
      <w:numFmt w:val="lowerLetter"/>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B65"/>
    <w:rsid w:val="00CB6B65"/>
    <w:rsid w:val="00FA3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Courier" w:hAnsi="Courier"/>
      <w:b/>
      <w:snapToGrid w:val="0"/>
      <w:sz w:val="24"/>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widowControl w:val="0"/>
      <w:ind w:left="2160" w:right="1440" w:hanging="720"/>
      <w:jc w:val="both"/>
    </w:pPr>
    <w:rPr>
      <w:rFonts w:ascii="Bookman Old Style" w:hAnsi="Bookman Old Style"/>
      <w:snapToGrid w:val="0"/>
      <w:sz w:val="26"/>
    </w:rPr>
  </w:style>
  <w:style w:type="paragraph" w:styleId="BodyText">
    <w:name w:val="Body Text"/>
    <w:basedOn w:val="Normal"/>
    <w:semiHidden/>
    <w:pPr>
      <w:widowControl w:val="0"/>
      <w:jc w:val="both"/>
    </w:pPr>
    <w:rPr>
      <w:rFonts w:ascii="Bookman Old Style" w:hAnsi="Bookman Old Style"/>
      <w:snapToGrid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jc w:val="both"/>
    </w:pPr>
    <w:rPr>
      <w:rFonts w:ascii="Courier" w:hAnsi="Courier"/>
      <w:b/>
      <w:snapToGrid w:val="0"/>
      <w:sz w:val="24"/>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lockText">
    <w:name w:val="Block Text"/>
    <w:basedOn w:val="Normal"/>
    <w:semiHidden/>
    <w:pPr>
      <w:widowControl w:val="0"/>
      <w:ind w:left="2160" w:right="1440" w:hanging="720"/>
      <w:jc w:val="both"/>
    </w:pPr>
    <w:rPr>
      <w:rFonts w:ascii="Bookman Old Style" w:hAnsi="Bookman Old Style"/>
      <w:snapToGrid w:val="0"/>
      <w:sz w:val="26"/>
    </w:rPr>
  </w:style>
  <w:style w:type="paragraph" w:styleId="BodyText">
    <w:name w:val="Body Text"/>
    <w:basedOn w:val="Normal"/>
    <w:semiHidden/>
    <w:pPr>
      <w:widowControl w:val="0"/>
      <w:jc w:val="both"/>
    </w:pPr>
    <w:rPr>
      <w:rFonts w:ascii="Bookman Old Style" w:hAnsi="Bookman Old Style"/>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2000-09-06T16:53:00Z</cp:lastPrinted>
  <dcterms:created xsi:type="dcterms:W3CDTF">2017-04-04T18:52:00Z</dcterms:created>
  <dcterms:modified xsi:type="dcterms:W3CDTF">2017-04-04T18:52:00Z</dcterms:modified>
</cp:coreProperties>
</file>