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7200">
      <w:pPr>
        <w:widowControl w:val="0"/>
        <w:jc w:val="both"/>
        <w:rPr>
          <w:rFonts w:ascii="Bookman Old Style" w:hAnsi="Bookman Old Style"/>
          <w:b/>
          <w:snapToGrid w:val="0"/>
          <w:sz w:val="26"/>
        </w:rPr>
      </w:pPr>
      <w:bookmarkStart w:id="0" w:name="_GoBack"/>
      <w:bookmarkEnd w:id="0"/>
      <w:r>
        <w:rPr>
          <w:rFonts w:ascii="Bookman Old Style" w:hAnsi="Bookman Old Style"/>
          <w:b/>
          <w:snapToGrid w:val="0"/>
          <w:sz w:val="26"/>
        </w:rPr>
        <w:t>26.07</w:t>
      </w:r>
      <w:r>
        <w:rPr>
          <w:rFonts w:ascii="Bookman Old Style" w:hAnsi="Bookman Old Style"/>
          <w:b/>
          <w:snapToGrid w:val="0"/>
          <w:sz w:val="26"/>
        </w:rPr>
        <w:tab/>
        <w:t>TESTAMENTARY CAPACITY</w:t>
      </w:r>
    </w:p>
    <w:p w:rsidR="00000000" w:rsidRDefault="004B7200">
      <w:pPr>
        <w:widowControl w:val="0"/>
        <w:spacing w:line="360" w:lineRule="auto"/>
        <w:jc w:val="both"/>
        <w:rPr>
          <w:rFonts w:ascii="Bookman Old Style" w:hAnsi="Bookman Old Style"/>
          <w:snapToGrid w:val="0"/>
          <w:sz w:val="26"/>
        </w:rPr>
      </w:pPr>
    </w:p>
    <w:p w:rsidR="00000000" w:rsidRDefault="004B7200">
      <w:pPr>
        <w:widowControl w:val="0"/>
        <w:spacing w:line="360" w:lineRule="auto"/>
        <w:jc w:val="both"/>
        <w:rPr>
          <w:rFonts w:ascii="Bookman Old Style" w:hAnsi="Bookman Old Style"/>
          <w:snapToGrid w:val="0"/>
          <w:sz w:val="26"/>
        </w:rPr>
      </w:pPr>
    </w:p>
    <w:p w:rsidR="00000000" w:rsidRDefault="004B7200">
      <w:pPr>
        <w:widowControl w:val="0"/>
        <w:spacing w:line="360" w:lineRule="auto"/>
        <w:jc w:val="both"/>
        <w:rPr>
          <w:rFonts w:ascii="Bookman Old Style" w:hAnsi="Bookman Old Style"/>
          <w:snapToGrid w:val="0"/>
          <w:sz w:val="26"/>
        </w:rPr>
      </w:pPr>
      <w:r>
        <w:rPr>
          <w:rFonts w:ascii="Bookman Old Style" w:hAnsi="Bookman Old Style"/>
          <w:snapToGrid w:val="0"/>
          <w:sz w:val="26"/>
        </w:rPr>
        <w:t>The Contestant claims that the will is invalid because the Maker was not of sound mind when the will was signed.  For the Contestant to win on this claim, you must decide that at least one of the following things is more likel</w:t>
      </w:r>
      <w:r>
        <w:rPr>
          <w:rFonts w:ascii="Bookman Old Style" w:hAnsi="Bookman Old Style"/>
          <w:snapToGrid w:val="0"/>
          <w:sz w:val="26"/>
        </w:rPr>
        <w:t>y true than not true:</w:t>
      </w:r>
    </w:p>
    <w:p w:rsidR="00000000" w:rsidRDefault="004B7200">
      <w:pPr>
        <w:widowControl w:val="0"/>
        <w:spacing w:line="360" w:lineRule="auto"/>
        <w:jc w:val="both"/>
        <w:rPr>
          <w:rFonts w:ascii="Bookman Old Style" w:hAnsi="Bookman Old Style"/>
          <w:snapToGrid w:val="0"/>
          <w:sz w:val="26"/>
        </w:rPr>
      </w:pPr>
    </w:p>
    <w:p w:rsidR="00000000" w:rsidRDefault="004B7200">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(1)</w:t>
      </w:r>
      <w:r>
        <w:rPr>
          <w:rFonts w:ascii="Bookman Old Style" w:hAnsi="Bookman Old Style"/>
          <w:snapToGrid w:val="0"/>
          <w:sz w:val="26"/>
        </w:rPr>
        <w:tab/>
        <w:t>the Maker lacked the mental capacity to understand the nature and extent of [his] [her] property;</w:t>
      </w:r>
    </w:p>
    <w:p w:rsidR="00000000" w:rsidRDefault="004B7200">
      <w:pPr>
        <w:widowControl w:val="0"/>
        <w:spacing w:line="360" w:lineRule="auto"/>
        <w:ind w:left="720" w:hanging="720"/>
        <w:jc w:val="both"/>
        <w:rPr>
          <w:rFonts w:ascii="Bookman Old Style" w:hAnsi="Bookman Old Style"/>
          <w:snapToGrid w:val="0"/>
          <w:sz w:val="26"/>
        </w:rPr>
      </w:pPr>
    </w:p>
    <w:p w:rsidR="00000000" w:rsidRDefault="004B7200">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(2)</w:t>
      </w:r>
      <w:r>
        <w:rPr>
          <w:rFonts w:ascii="Bookman Old Style" w:hAnsi="Bookman Old Style"/>
          <w:snapToGrid w:val="0"/>
          <w:sz w:val="26"/>
        </w:rPr>
        <w:tab/>
        <w:t>the Maker lacked the mental capacity to understand that [he] [she] was signing a will that would dispose of [his] [her] proper</w:t>
      </w:r>
      <w:r>
        <w:rPr>
          <w:rFonts w:ascii="Bookman Old Style" w:hAnsi="Bookman Old Style"/>
          <w:snapToGrid w:val="0"/>
          <w:sz w:val="26"/>
        </w:rPr>
        <w:t>ty when [he] [she] died;</w:t>
      </w:r>
    </w:p>
    <w:p w:rsidR="00000000" w:rsidRDefault="004B7200">
      <w:pPr>
        <w:widowControl w:val="0"/>
        <w:spacing w:line="360" w:lineRule="auto"/>
        <w:ind w:left="720" w:hanging="720"/>
        <w:jc w:val="both"/>
        <w:rPr>
          <w:rFonts w:ascii="Bookman Old Style" w:hAnsi="Bookman Old Style"/>
          <w:snapToGrid w:val="0"/>
          <w:sz w:val="26"/>
        </w:rPr>
      </w:pPr>
    </w:p>
    <w:p w:rsidR="00000000" w:rsidRDefault="004B7200">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(3)</w:t>
      </w:r>
      <w:r>
        <w:rPr>
          <w:rFonts w:ascii="Bookman Old Style" w:hAnsi="Bookman Old Style"/>
          <w:snapToGrid w:val="0"/>
          <w:sz w:val="26"/>
        </w:rPr>
        <w:tab/>
        <w:t>the Maker lacked the mental capacity to identify the persons or entities to whom someone in the Maker's position would naturally consider leaving property.</w:t>
      </w:r>
    </w:p>
    <w:p w:rsidR="00000000" w:rsidRDefault="004B7200">
      <w:pPr>
        <w:widowControl w:val="0"/>
        <w:spacing w:line="360" w:lineRule="auto"/>
        <w:jc w:val="both"/>
        <w:rPr>
          <w:rFonts w:ascii="Bookman Old Style" w:hAnsi="Bookman Old Style"/>
          <w:snapToGrid w:val="0"/>
          <w:sz w:val="26"/>
        </w:rPr>
      </w:pPr>
    </w:p>
    <w:p w:rsidR="00000000" w:rsidRDefault="004B7200">
      <w:pPr>
        <w:widowControl w:val="0"/>
        <w:spacing w:line="360" w:lineRule="auto"/>
        <w:jc w:val="both"/>
        <w:rPr>
          <w:rFonts w:ascii="Bookman Old Style" w:hAnsi="Bookman Old Style"/>
          <w:snapToGrid w:val="0"/>
          <w:sz w:val="26"/>
        </w:rPr>
      </w:pPr>
      <w:r>
        <w:rPr>
          <w:rFonts w:ascii="Bookman Old Style" w:hAnsi="Bookman Old Style"/>
          <w:snapToGrid w:val="0"/>
          <w:sz w:val="26"/>
        </w:rPr>
        <w:t>[Evidence that the Maker [was] [old] [sick] [weak] [approaching death</w:t>
      </w:r>
      <w:r>
        <w:rPr>
          <w:rFonts w:ascii="Bookman Old Style" w:hAnsi="Bookman Old Style"/>
          <w:snapToGrid w:val="0"/>
          <w:sz w:val="26"/>
        </w:rPr>
        <w:t>] [used] [was addicted to] [drugs or alcohol] [had a guardian] does not establish that the Maker lacked a sound mind.  However, you may consider this evidence in determining whether the Maker lacked a sound mind.</w:t>
      </w:r>
    </w:p>
    <w:p w:rsidR="00000000" w:rsidRDefault="004B7200">
      <w:pPr>
        <w:widowControl w:val="0"/>
        <w:spacing w:line="360" w:lineRule="auto"/>
        <w:jc w:val="both"/>
        <w:rPr>
          <w:rFonts w:ascii="Bookman Old Style" w:hAnsi="Bookman Old Style"/>
          <w:snapToGrid w:val="0"/>
          <w:sz w:val="26"/>
        </w:rPr>
      </w:pPr>
    </w:p>
    <w:p w:rsidR="00000000" w:rsidRDefault="004B7200">
      <w:pPr>
        <w:widowControl w:val="0"/>
        <w:spacing w:line="360" w:lineRule="auto"/>
        <w:jc w:val="both"/>
        <w:rPr>
          <w:rFonts w:ascii="Bookman Old Style" w:hAnsi="Bookman Old Style"/>
          <w:snapToGrid w:val="0"/>
          <w:sz w:val="26"/>
        </w:rPr>
      </w:pPr>
      <w:r>
        <w:rPr>
          <w:rFonts w:ascii="Bookman Old Style" w:hAnsi="Bookman Old Style"/>
          <w:snapToGrid w:val="0"/>
          <w:sz w:val="26"/>
        </w:rPr>
        <w:t>If you decide that the Maker lacked the me</w:t>
      </w:r>
      <w:r>
        <w:rPr>
          <w:rFonts w:ascii="Bookman Old Style" w:hAnsi="Bookman Old Style"/>
          <w:snapToGrid w:val="0"/>
          <w:sz w:val="26"/>
        </w:rPr>
        <w:t xml:space="preserve">ntal capacity to understand any one of the three things I have described, then you must return a verdict for the Contestant.  Otherwise, you must find that the Maker was </w:t>
      </w:r>
      <w:r>
        <w:rPr>
          <w:rFonts w:ascii="Bookman Old Style" w:hAnsi="Bookman Old Style"/>
          <w:snapToGrid w:val="0"/>
          <w:sz w:val="26"/>
        </w:rPr>
        <w:lastRenderedPageBreak/>
        <w:t>of sound mind when [he] [she] made the will and [return a verdict for the Proponent] [</w:t>
      </w:r>
      <w:r>
        <w:rPr>
          <w:rFonts w:ascii="Bookman Old Style" w:hAnsi="Bookman Old Style"/>
          <w:snapToGrid w:val="0"/>
          <w:sz w:val="26"/>
        </w:rPr>
        <w:t>decide some additional things that I will explain to you.]</w:t>
      </w:r>
    </w:p>
    <w:p w:rsidR="00000000" w:rsidRDefault="004B7200">
      <w:pPr>
        <w:widowControl w:val="0"/>
        <w:jc w:val="both"/>
        <w:rPr>
          <w:rFonts w:ascii="Bookman Old Style" w:hAnsi="Bookman Old Style"/>
          <w:snapToGrid w:val="0"/>
          <w:sz w:val="26"/>
        </w:rPr>
      </w:pPr>
    </w:p>
    <w:p w:rsidR="00000000" w:rsidRDefault="004B7200">
      <w:pPr>
        <w:widowControl w:val="0"/>
        <w:jc w:val="both"/>
        <w:rPr>
          <w:rFonts w:ascii="Bookman Old Style" w:hAnsi="Bookman Old Style"/>
          <w:snapToGrid w:val="0"/>
          <w:sz w:val="26"/>
        </w:rPr>
      </w:pPr>
    </w:p>
    <w:p w:rsidR="00000000" w:rsidRDefault="004B7200">
      <w:pPr>
        <w:pStyle w:val="Heading1"/>
      </w:pPr>
      <w:r>
        <w:t>Use Note</w:t>
      </w:r>
    </w:p>
    <w:p w:rsidR="00000000" w:rsidRDefault="004B7200">
      <w:pPr>
        <w:widowControl w:val="0"/>
        <w:jc w:val="both"/>
        <w:rPr>
          <w:rFonts w:ascii="Bookman Old Style" w:hAnsi="Bookman Old Style"/>
          <w:snapToGrid w:val="0"/>
          <w:sz w:val="26"/>
        </w:rPr>
      </w:pPr>
    </w:p>
    <w:p w:rsidR="00000000" w:rsidRDefault="004B7200">
      <w:pPr>
        <w:widowControl w:val="0"/>
        <w:jc w:val="both"/>
        <w:rPr>
          <w:rFonts w:ascii="Bookman Old Style" w:hAnsi="Bookman Old Style"/>
          <w:strike/>
          <w:snapToGrid w:val="0"/>
          <w:sz w:val="26"/>
        </w:rPr>
      </w:pPr>
      <w:r>
        <w:rPr>
          <w:rFonts w:ascii="Bookman Old Style" w:hAnsi="Bookman Old Style"/>
          <w:snapToGrid w:val="0"/>
          <w:sz w:val="26"/>
        </w:rPr>
        <w:t xml:space="preserve">This instruction should be given when testamentary capacity is at issue.  </w:t>
      </w:r>
    </w:p>
    <w:p w:rsidR="00000000" w:rsidRDefault="004B7200">
      <w:pPr>
        <w:widowControl w:val="0"/>
        <w:jc w:val="both"/>
        <w:rPr>
          <w:rFonts w:ascii="Bookman Old Style" w:hAnsi="Bookman Old Style"/>
          <w:strike/>
          <w:snapToGrid w:val="0"/>
          <w:sz w:val="26"/>
        </w:rPr>
      </w:pPr>
    </w:p>
    <w:p w:rsidR="00000000" w:rsidRDefault="004B7200">
      <w:pPr>
        <w:pStyle w:val="Heading1"/>
      </w:pPr>
      <w:r>
        <w:t>Comment</w:t>
      </w:r>
    </w:p>
    <w:p w:rsidR="00000000" w:rsidRDefault="004B7200">
      <w:pPr>
        <w:widowControl w:val="0"/>
        <w:jc w:val="both"/>
        <w:rPr>
          <w:rFonts w:ascii="Bookman Old Style" w:hAnsi="Bookman Old Style"/>
          <w:snapToGrid w:val="0"/>
          <w:sz w:val="26"/>
        </w:rPr>
      </w:pPr>
    </w:p>
    <w:p w:rsidR="00000000" w:rsidRDefault="004B7200">
      <w:pPr>
        <w:widowControl w:val="0"/>
        <w:jc w:val="both"/>
        <w:rPr>
          <w:rFonts w:ascii="Bookman Old Style" w:hAnsi="Bookman Old Style"/>
          <w:snapToGrid w:val="0"/>
          <w:sz w:val="26"/>
        </w:rPr>
      </w:pPr>
      <w:r>
        <w:rPr>
          <w:rFonts w:ascii="Bookman Old Style" w:hAnsi="Bookman Old Style"/>
          <w:snapToGrid w:val="0"/>
          <w:sz w:val="26"/>
        </w:rPr>
        <w:t>Much of the Alaska statutory law on wills in taken from the Uniform Probate Code (UPC).  However, th</w:t>
      </w:r>
      <w:r>
        <w:rPr>
          <w:rFonts w:ascii="Bookman Old Style" w:hAnsi="Bookman Old Style"/>
          <w:snapToGrid w:val="0"/>
          <w:sz w:val="26"/>
        </w:rPr>
        <w:t>e UPC does not define sound mind (one of the requirements mentioned in Alaska Stat. 13.11.150) and one commentator has written:  "[The UPC] leaves to local law the determination of mental capacity other than age.  It is thus possible for the local court to</w:t>
      </w:r>
      <w:r>
        <w:rPr>
          <w:rFonts w:ascii="Bookman Old Style" w:hAnsi="Bookman Old Style"/>
          <w:snapToGrid w:val="0"/>
          <w:sz w:val="26"/>
        </w:rPr>
        <w:t xml:space="preserve"> determine its own test for mental capacity and for insane delusion."  ALI-ABA Committee on Continuing Professional Education, 1 Uniform Probate Code Practice Manual 132 (2d ed. 1977).</w:t>
      </w:r>
    </w:p>
    <w:p w:rsidR="00000000" w:rsidRDefault="004B7200">
      <w:pPr>
        <w:widowControl w:val="0"/>
        <w:jc w:val="both"/>
        <w:rPr>
          <w:rFonts w:ascii="Bookman Old Style" w:hAnsi="Bookman Old Style"/>
          <w:snapToGrid w:val="0"/>
          <w:sz w:val="26"/>
        </w:rPr>
      </w:pPr>
    </w:p>
    <w:p w:rsidR="00000000" w:rsidRDefault="004B7200">
      <w:pPr>
        <w:widowControl w:val="0"/>
        <w:jc w:val="both"/>
        <w:rPr>
          <w:rFonts w:ascii="Bookman Old Style" w:hAnsi="Bookman Old Style"/>
          <w:snapToGrid w:val="0"/>
          <w:sz w:val="26"/>
        </w:rPr>
      </w:pPr>
      <w:r>
        <w:rPr>
          <w:rFonts w:ascii="Bookman Old Style" w:hAnsi="Bookman Old Style"/>
          <w:snapToGrid w:val="0"/>
          <w:sz w:val="26"/>
        </w:rPr>
        <w:t>Like many jurisdictions, the Alaska Supreme Court has adopted the thre</w:t>
      </w:r>
      <w:r>
        <w:rPr>
          <w:rFonts w:ascii="Bookman Old Style" w:hAnsi="Bookman Old Style"/>
          <w:snapToGrid w:val="0"/>
          <w:sz w:val="26"/>
        </w:rPr>
        <w:t xml:space="preserve">e-prong test of testamentary capacity relating to mentality.  In </w:t>
      </w:r>
      <w:r>
        <w:rPr>
          <w:rFonts w:ascii="Bookman Old Style" w:hAnsi="Bookman Old Style"/>
          <w:snapToGrid w:val="0"/>
          <w:sz w:val="26"/>
          <w:u w:val="single"/>
        </w:rPr>
        <w:t>In re Estate of Kraft</w:t>
      </w:r>
      <w:r>
        <w:rPr>
          <w:rFonts w:ascii="Bookman Old Style" w:hAnsi="Bookman Old Style"/>
          <w:snapToGrid w:val="0"/>
          <w:sz w:val="26"/>
        </w:rPr>
        <w:t xml:space="preserve">, 374 P.2d 413 (Alaska 1962), the court held that "the question is always whether . . . [the testator] had sufficient mental capacity to understand the nature and extent </w:t>
      </w:r>
      <w:r>
        <w:rPr>
          <w:rFonts w:ascii="Bookman Old Style" w:hAnsi="Bookman Old Style"/>
          <w:snapToGrid w:val="0"/>
          <w:sz w:val="26"/>
        </w:rPr>
        <w:t xml:space="preserve">of his property, the natural or proper objects of his bounty, and the nature of his testamentary act."  </w:t>
      </w:r>
      <w:r>
        <w:rPr>
          <w:rFonts w:ascii="Bookman Old Style" w:hAnsi="Bookman Old Style"/>
          <w:snapToGrid w:val="0"/>
          <w:sz w:val="26"/>
          <w:u w:val="single"/>
        </w:rPr>
        <w:t>Id</w:t>
      </w:r>
      <w:r>
        <w:rPr>
          <w:rFonts w:ascii="Bookman Old Style" w:hAnsi="Bookman Old Style"/>
          <w:snapToGrid w:val="0"/>
          <w:sz w:val="26"/>
        </w:rPr>
        <w:t xml:space="preserve">. at 415-16; </w:t>
      </w:r>
      <w:r>
        <w:rPr>
          <w:rFonts w:ascii="Bookman Old Style" w:hAnsi="Bookman Old Style"/>
          <w:snapToGrid w:val="0"/>
          <w:sz w:val="26"/>
          <w:u w:val="single"/>
        </w:rPr>
        <w:t>accord</w:t>
      </w:r>
      <w:r>
        <w:rPr>
          <w:rFonts w:ascii="Bookman Old Style" w:hAnsi="Bookman Old Style"/>
          <w:snapToGrid w:val="0"/>
          <w:sz w:val="26"/>
        </w:rPr>
        <w:t xml:space="preserve"> </w:t>
      </w:r>
      <w:r>
        <w:rPr>
          <w:rFonts w:ascii="Bookman Old Style" w:hAnsi="Bookman Old Style"/>
          <w:snapToGrid w:val="0"/>
          <w:sz w:val="26"/>
          <w:u w:val="single"/>
        </w:rPr>
        <w:t>Paskvan v. Mesich</w:t>
      </w:r>
      <w:r>
        <w:rPr>
          <w:rFonts w:ascii="Bookman Old Style" w:hAnsi="Bookman Old Style"/>
          <w:snapToGrid w:val="0"/>
          <w:sz w:val="26"/>
        </w:rPr>
        <w:t>, 455 P.2d 229, 234 (Alaska 1969).</w:t>
      </w:r>
    </w:p>
    <w:p w:rsidR="00000000" w:rsidRDefault="004B7200">
      <w:pPr>
        <w:widowControl w:val="0"/>
        <w:jc w:val="both"/>
        <w:rPr>
          <w:rFonts w:ascii="Bookman Old Style" w:hAnsi="Bookman Old Style"/>
          <w:snapToGrid w:val="0"/>
          <w:sz w:val="26"/>
        </w:rPr>
      </w:pPr>
    </w:p>
    <w:p w:rsidR="00000000" w:rsidRDefault="004B7200">
      <w:pPr>
        <w:widowControl w:val="0"/>
        <w:jc w:val="both"/>
        <w:rPr>
          <w:rFonts w:ascii="Bookman Old Style" w:hAnsi="Bookman Old Style"/>
          <w:snapToGrid w:val="0"/>
          <w:sz w:val="26"/>
        </w:rPr>
      </w:pPr>
      <w:r>
        <w:rPr>
          <w:rFonts w:ascii="Bookman Old Style" w:hAnsi="Bookman Old Style"/>
          <w:snapToGrid w:val="0"/>
          <w:sz w:val="26"/>
        </w:rPr>
        <w:t>The appropriate parts of the third paragraph of this instruction should be us</w:t>
      </w:r>
      <w:r>
        <w:rPr>
          <w:rFonts w:ascii="Bookman Old Style" w:hAnsi="Bookman Old Style"/>
          <w:snapToGrid w:val="0"/>
          <w:sz w:val="26"/>
        </w:rPr>
        <w:t xml:space="preserve">ed when there is evidence relating to a disability of the testator.  Examples of disabilities are disease, alcoholism, and drug addiction, all of which may affect the testator's capacity.  The existence of a guardian for the testator would also be weighed </w:t>
      </w:r>
      <w:r>
        <w:rPr>
          <w:rFonts w:ascii="Bookman Old Style" w:hAnsi="Bookman Old Style"/>
          <w:snapToGrid w:val="0"/>
          <w:sz w:val="26"/>
        </w:rPr>
        <w:t xml:space="preserve">in the jury's determination.  </w:t>
      </w:r>
      <w:r>
        <w:rPr>
          <w:rFonts w:ascii="Bookman Old Style" w:hAnsi="Bookman Old Style"/>
          <w:snapToGrid w:val="0"/>
          <w:sz w:val="26"/>
          <w:u w:val="single"/>
        </w:rPr>
        <w:t>Paskvan v. Mesich</w:t>
      </w:r>
      <w:r>
        <w:rPr>
          <w:rFonts w:ascii="Bookman Old Style" w:hAnsi="Bookman Old Style"/>
          <w:snapToGrid w:val="0"/>
          <w:sz w:val="26"/>
        </w:rPr>
        <w:t xml:space="preserve">, 455 P.2d 229, 238-39 (Alaska 1969).  However, "disease, great weakness, the use of alcohol and drugs, and approaching death do not alone render a testator incompetent to make a will."  </w:t>
      </w:r>
      <w:r>
        <w:rPr>
          <w:rFonts w:ascii="Bookman Old Style" w:hAnsi="Bookman Old Style"/>
          <w:snapToGrid w:val="0"/>
          <w:sz w:val="26"/>
          <w:u w:val="single"/>
        </w:rPr>
        <w:t>In re Estate of Kraft</w:t>
      </w:r>
      <w:r>
        <w:rPr>
          <w:rFonts w:ascii="Bookman Old Style" w:hAnsi="Bookman Old Style"/>
          <w:snapToGrid w:val="0"/>
          <w:sz w:val="26"/>
        </w:rPr>
        <w:t>,</w:t>
      </w:r>
      <w:r>
        <w:rPr>
          <w:rFonts w:ascii="Bookman Old Style" w:hAnsi="Bookman Old Style"/>
          <w:snapToGrid w:val="0"/>
          <w:sz w:val="26"/>
        </w:rPr>
        <w:t xml:space="preserve"> 374 P.2d 413, 415 (Alaska 1962).</w:t>
      </w:r>
    </w:p>
    <w:p w:rsidR="00000000" w:rsidRDefault="004B7200">
      <w:pPr>
        <w:widowControl w:val="0"/>
        <w:jc w:val="both"/>
        <w:rPr>
          <w:rFonts w:ascii="Bookman Old Style" w:hAnsi="Bookman Old Style"/>
          <w:snapToGrid w:val="0"/>
          <w:sz w:val="26"/>
        </w:rPr>
      </w:pPr>
    </w:p>
    <w:p w:rsidR="00000000" w:rsidRDefault="004B7200">
      <w:pPr>
        <w:widowControl w:val="0"/>
        <w:jc w:val="both"/>
        <w:rPr>
          <w:rFonts w:ascii="Bookman Old Style" w:hAnsi="Bookman Old Style"/>
          <w:snapToGrid w:val="0"/>
          <w:sz w:val="26"/>
        </w:rPr>
      </w:pPr>
      <w:r>
        <w:rPr>
          <w:rFonts w:ascii="Bookman Old Style" w:hAnsi="Bookman Old Style"/>
          <w:snapToGrid w:val="0"/>
          <w:sz w:val="26"/>
        </w:rPr>
        <w:t xml:space="preserve">Regarding the burden of persuasion, "the contestant of a will has the burden of showing lack of testamentary capacity."  </w:t>
      </w:r>
      <w:r>
        <w:rPr>
          <w:rFonts w:ascii="Bookman Old Style" w:hAnsi="Bookman Old Style"/>
          <w:snapToGrid w:val="0"/>
          <w:sz w:val="26"/>
          <w:u w:val="single"/>
        </w:rPr>
        <w:t>Paskvan v. Mesich</w:t>
      </w:r>
      <w:r>
        <w:rPr>
          <w:rFonts w:ascii="Bookman Old Style" w:hAnsi="Bookman Old Style"/>
          <w:snapToGrid w:val="0"/>
          <w:sz w:val="26"/>
        </w:rPr>
        <w:t xml:space="preserve">, 455 P.2d 229, 239 (Alaska 1969); </w:t>
      </w:r>
      <w:r>
        <w:rPr>
          <w:rFonts w:ascii="Bookman Old Style" w:hAnsi="Bookman Old Style"/>
          <w:snapToGrid w:val="0"/>
          <w:sz w:val="26"/>
          <w:u w:val="single"/>
        </w:rPr>
        <w:t>see</w:t>
      </w:r>
      <w:r>
        <w:rPr>
          <w:rFonts w:ascii="Bookman Old Style" w:hAnsi="Bookman Old Style"/>
          <w:snapToGrid w:val="0"/>
          <w:sz w:val="26"/>
        </w:rPr>
        <w:t xml:space="preserve"> </w:t>
      </w:r>
      <w:r>
        <w:rPr>
          <w:rFonts w:ascii="Bookman Old Style" w:hAnsi="Bookman Old Style"/>
          <w:snapToGrid w:val="0"/>
          <w:sz w:val="26"/>
          <w:u w:val="single"/>
        </w:rPr>
        <w:t>also</w:t>
      </w:r>
      <w:r>
        <w:rPr>
          <w:rFonts w:ascii="Bookman Old Style" w:hAnsi="Bookman Old Style"/>
          <w:snapToGrid w:val="0"/>
          <w:sz w:val="26"/>
        </w:rPr>
        <w:t xml:space="preserve"> Alaska Stat.  13.16.170.</w:t>
      </w:r>
    </w:p>
    <w:sectPr w:rsidR="00000000">
      <w:headerReference w:type="even" r:id="rId7"/>
      <w:headerReference w:type="default" r:id="rId8"/>
      <w:footerReference w:type="default" r:id="rId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7200">
      <w:r>
        <w:separator/>
      </w:r>
    </w:p>
  </w:endnote>
  <w:endnote w:type="continuationSeparator" w:id="0">
    <w:p w:rsidR="00000000" w:rsidRDefault="004B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hicago">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200">
    <w:pPr>
      <w:widowControl w:val="0"/>
      <w:tabs>
        <w:tab w:val="right" w:pos="9360"/>
      </w:tabs>
      <w:jc w:val="both"/>
      <w:rPr>
        <w:rFonts w:ascii="Bookman Old Style" w:hAnsi="Bookman Old Style"/>
        <w:snapToGrid w:val="0"/>
        <w:sz w:val="26"/>
      </w:rPr>
    </w:pPr>
    <w:r>
      <w:rPr>
        <w:rFonts w:ascii="Bookman Old Style" w:hAnsi="Bookman Old Style"/>
        <w:snapToGrid w:val="0"/>
        <w:sz w:val="26"/>
      </w:rPr>
      <w:t>Revis</w:t>
    </w:r>
    <w:r>
      <w:rPr>
        <w:rFonts w:ascii="Bookman Old Style" w:hAnsi="Bookman Old Style"/>
        <w:snapToGrid w:val="0"/>
        <w:sz w:val="26"/>
      </w:rPr>
      <w:t>ed 1995</w:t>
    </w:r>
    <w:r>
      <w:rPr>
        <w:rFonts w:ascii="Bookman Old Style" w:hAnsi="Bookman Old Style"/>
        <w:snapToGrid w:val="0"/>
        <w:sz w:val="26"/>
      </w:rPr>
      <w:tab/>
      <w:t xml:space="preserve">26.07 -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B5411B">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7200">
      <w:r>
        <w:separator/>
      </w:r>
    </w:p>
  </w:footnote>
  <w:footnote w:type="continuationSeparator" w:id="0">
    <w:p w:rsidR="00000000" w:rsidRDefault="004B72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2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Chicago" w:hAnsi="Chicago"/>
        <w:snapToGrid w:val="0"/>
        <w:sz w:val="24"/>
      </w:rPr>
    </w:pPr>
    <w:r>
      <w:rPr>
        <w:rFonts w:ascii="Courier" w:hAnsi="Courier"/>
        <w:snapToGrid w:val="0"/>
        <w:sz w:val="24"/>
      </w:rPr>
      <w:t>26.07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2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Chicago" w:hAnsi="Chicago"/>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1B"/>
    <w:rsid w:val="004B7200"/>
    <w:rsid w:val="00B5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rFonts w:ascii="Bookman Old Style" w:hAnsi="Bookman Old Style"/>
      <w:snapToGrid w:val="0"/>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rFonts w:ascii="Bookman Old Style" w:hAnsi="Bookman Old Style"/>
      <w:snapToGrid w:val="0"/>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26</vt:lpstr>
    </vt:vector>
  </TitlesOfParts>
  <Company>Alaska Court System</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Sandy</dc:creator>
  <cp:keywords/>
  <cp:lastModifiedBy>Michael Merrington</cp:lastModifiedBy>
  <cp:revision>3</cp:revision>
  <cp:lastPrinted>2000-08-16T19:00:00Z</cp:lastPrinted>
  <dcterms:created xsi:type="dcterms:W3CDTF">2017-04-04T18:52:00Z</dcterms:created>
  <dcterms:modified xsi:type="dcterms:W3CDTF">2017-04-04T18:52:00Z</dcterms:modified>
</cp:coreProperties>
</file>