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F1806">
      <w:pPr>
        <w:widowControl w:val="0"/>
        <w:jc w:val="both"/>
        <w:rPr>
          <w:rFonts w:ascii="Bookman Old Style" w:hAnsi="Bookman Old Style"/>
          <w:b/>
          <w:snapToGrid w:val="0"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napToGrid w:val="0"/>
          <w:sz w:val="26"/>
        </w:rPr>
        <w:t>26.09</w:t>
      </w:r>
      <w:r>
        <w:rPr>
          <w:rFonts w:ascii="Bookman Old Style" w:hAnsi="Bookman Old Style"/>
          <w:b/>
          <w:snapToGrid w:val="0"/>
          <w:sz w:val="26"/>
        </w:rPr>
        <w:tab/>
        <w:t>TESTAMENTARY INTENT</w:t>
      </w:r>
    </w:p>
    <w:p w:rsidR="00000000" w:rsidRDefault="00BF1806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BF1806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BF1806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 xml:space="preserve">Instruction withdrawn 1995.  </w:t>
      </w:r>
      <w:r>
        <w:rPr>
          <w:rFonts w:ascii="Bookman Old Style" w:hAnsi="Bookman Old Style"/>
          <w:snapToGrid w:val="0"/>
          <w:sz w:val="26"/>
          <w:u w:val="single"/>
        </w:rPr>
        <w:t>See</w:t>
      </w:r>
      <w:r>
        <w:rPr>
          <w:rFonts w:ascii="Bookman Old Style" w:hAnsi="Bookman Old Style"/>
          <w:snapToGrid w:val="0"/>
          <w:sz w:val="26"/>
        </w:rPr>
        <w:t xml:space="preserve"> Comment.</w:t>
      </w:r>
    </w:p>
    <w:p w:rsidR="00000000" w:rsidRDefault="00BF1806">
      <w:pPr>
        <w:widowControl w:val="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BF1806">
      <w:pPr>
        <w:widowControl w:val="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BF1806">
      <w:pPr>
        <w:widowControl w:val="0"/>
        <w:ind w:left="720" w:right="720"/>
        <w:jc w:val="center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  <w:u w:val="single"/>
        </w:rPr>
        <w:t>Comment</w:t>
      </w:r>
    </w:p>
    <w:p w:rsidR="00000000" w:rsidRDefault="00BF1806">
      <w:pPr>
        <w:widowControl w:val="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BF1806">
      <w:pPr>
        <w:widowControl w:val="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 xml:space="preserve">The issue of testamentary intent usually arises in two broad contexts:  when it is asserted that a will was executed as a sham or joke and was never intended to take effect, </w:t>
      </w:r>
      <w:proofErr w:type="spellStart"/>
      <w:r>
        <w:rPr>
          <w:rFonts w:ascii="Bookman Old Style" w:hAnsi="Bookman Old Style"/>
          <w:snapToGrid w:val="0"/>
          <w:sz w:val="26"/>
          <w:u w:val="single"/>
        </w:rPr>
        <w:t>L</w:t>
      </w:r>
      <w:r>
        <w:rPr>
          <w:rFonts w:ascii="Bookman Old Style" w:hAnsi="Bookman Old Style"/>
          <w:snapToGrid w:val="0"/>
          <w:sz w:val="26"/>
          <w:u w:val="single"/>
        </w:rPr>
        <w:t>ister</w:t>
      </w:r>
      <w:proofErr w:type="spellEnd"/>
      <w:r>
        <w:rPr>
          <w:rFonts w:ascii="Bookman Old Style" w:hAnsi="Bookman Old Style"/>
          <w:snapToGrid w:val="0"/>
          <w:sz w:val="26"/>
          <w:u w:val="single"/>
        </w:rPr>
        <w:t xml:space="preserve"> v. Smith</w:t>
      </w:r>
      <w:r>
        <w:rPr>
          <w:rFonts w:ascii="Bookman Old Style" w:hAnsi="Bookman Old Style"/>
          <w:snapToGrid w:val="0"/>
          <w:sz w:val="26"/>
        </w:rPr>
        <w:t xml:space="preserve">, 3 SW. &amp; Tr. 282, 164 Eng. Rep. 1282 (Courts of Probate 1863), and when it is asserted that the testator subjected the operation of his or her will to a valid condition precedent, which never occurred.  </w:t>
      </w:r>
      <w:r>
        <w:rPr>
          <w:rFonts w:ascii="Bookman Old Style" w:hAnsi="Bookman Old Style"/>
          <w:snapToGrid w:val="0"/>
          <w:sz w:val="26"/>
          <w:u w:val="single"/>
        </w:rPr>
        <w:t>Eaton v. Brown</w:t>
      </w:r>
      <w:r>
        <w:rPr>
          <w:rFonts w:ascii="Bookman Old Style" w:hAnsi="Bookman Old Style"/>
          <w:snapToGrid w:val="0"/>
          <w:sz w:val="26"/>
        </w:rPr>
        <w:t xml:space="preserve">, 193 U.S. 411 (1904); </w:t>
      </w:r>
      <w:r>
        <w:rPr>
          <w:rFonts w:ascii="Bookman Old Style" w:hAnsi="Bookman Old Style"/>
          <w:snapToGrid w:val="0"/>
          <w:sz w:val="26"/>
          <w:u w:val="single"/>
        </w:rPr>
        <w:t>W</w:t>
      </w:r>
      <w:r>
        <w:rPr>
          <w:rFonts w:ascii="Bookman Old Style" w:hAnsi="Bookman Old Style"/>
          <w:snapToGrid w:val="0"/>
          <w:sz w:val="26"/>
          <w:u w:val="single"/>
        </w:rPr>
        <w:t xml:space="preserve">ood v. </w:t>
      </w:r>
      <w:proofErr w:type="spellStart"/>
      <w:r>
        <w:rPr>
          <w:rFonts w:ascii="Bookman Old Style" w:hAnsi="Bookman Old Style"/>
          <w:snapToGrid w:val="0"/>
          <w:sz w:val="26"/>
          <w:u w:val="single"/>
        </w:rPr>
        <w:t>Greimann</w:t>
      </w:r>
      <w:proofErr w:type="spellEnd"/>
      <w:r>
        <w:rPr>
          <w:rFonts w:ascii="Bookman Old Style" w:hAnsi="Bookman Old Style"/>
          <w:snapToGrid w:val="0"/>
          <w:sz w:val="26"/>
        </w:rPr>
        <w:t xml:space="preserve">, 165 F.2d 637, 11 Alaska 498 (1948); </w:t>
      </w:r>
      <w:r>
        <w:rPr>
          <w:rFonts w:ascii="Bookman Old Style" w:hAnsi="Bookman Old Style"/>
          <w:snapToGrid w:val="0"/>
          <w:sz w:val="26"/>
          <w:u w:val="single"/>
        </w:rPr>
        <w:t>In re Pearl's Estate</w:t>
      </w:r>
      <w:r>
        <w:rPr>
          <w:rFonts w:ascii="Bookman Old Style" w:hAnsi="Bookman Old Style"/>
          <w:snapToGrid w:val="0"/>
          <w:sz w:val="26"/>
        </w:rPr>
        <w:t xml:space="preserve">, 11 Alaska 214 (1946).  Some courts have admitted only clear and positive extrinsic evidence to show the testator's intention.  </w:t>
      </w:r>
      <w:r>
        <w:rPr>
          <w:rFonts w:ascii="Bookman Old Style" w:hAnsi="Bookman Old Style"/>
          <w:snapToGrid w:val="0"/>
          <w:sz w:val="26"/>
          <w:u w:val="single"/>
        </w:rPr>
        <w:t>See</w:t>
      </w:r>
      <w:r>
        <w:rPr>
          <w:rFonts w:ascii="Bookman Old Style" w:hAnsi="Bookman Old Style"/>
          <w:snapToGrid w:val="0"/>
          <w:sz w:val="26"/>
        </w:rPr>
        <w:t xml:space="preserve">, </w:t>
      </w:r>
      <w:r>
        <w:rPr>
          <w:rFonts w:ascii="Bookman Old Style" w:hAnsi="Bookman Old Style"/>
          <w:snapToGrid w:val="0"/>
          <w:sz w:val="26"/>
          <w:u w:val="single"/>
        </w:rPr>
        <w:t>e.g.</w:t>
      </w:r>
      <w:r>
        <w:rPr>
          <w:rFonts w:ascii="Bookman Old Style" w:hAnsi="Bookman Old Style"/>
          <w:snapToGrid w:val="0"/>
          <w:sz w:val="26"/>
        </w:rPr>
        <w:t xml:space="preserve">, </w:t>
      </w:r>
      <w:proofErr w:type="spellStart"/>
      <w:r>
        <w:rPr>
          <w:rFonts w:ascii="Bookman Old Style" w:hAnsi="Bookman Old Style"/>
          <w:snapToGrid w:val="0"/>
          <w:sz w:val="26"/>
          <w:u w:val="single"/>
        </w:rPr>
        <w:t>Vroom</w:t>
      </w:r>
      <w:proofErr w:type="spellEnd"/>
      <w:r>
        <w:rPr>
          <w:rFonts w:ascii="Bookman Old Style" w:hAnsi="Bookman Old Style"/>
          <w:snapToGrid w:val="0"/>
          <w:sz w:val="26"/>
          <w:u w:val="single"/>
        </w:rPr>
        <w:t xml:space="preserve"> v. </w:t>
      </w:r>
      <w:proofErr w:type="spellStart"/>
      <w:r>
        <w:rPr>
          <w:rFonts w:ascii="Bookman Old Style" w:hAnsi="Bookman Old Style"/>
          <w:snapToGrid w:val="0"/>
          <w:sz w:val="26"/>
          <w:u w:val="single"/>
        </w:rPr>
        <w:t>Curtiss</w:t>
      </w:r>
      <w:proofErr w:type="spellEnd"/>
      <w:r>
        <w:rPr>
          <w:rFonts w:ascii="Bookman Old Style" w:hAnsi="Bookman Old Style"/>
          <w:snapToGrid w:val="0"/>
          <w:sz w:val="26"/>
        </w:rPr>
        <w:t>, 18 Cal.2d 512, 116 P.2d 4</w:t>
      </w:r>
      <w:r>
        <w:rPr>
          <w:rFonts w:ascii="Bookman Old Style" w:hAnsi="Bookman Old Style"/>
          <w:snapToGrid w:val="0"/>
          <w:sz w:val="26"/>
        </w:rPr>
        <w:t xml:space="preserve">38 (1941); </w:t>
      </w:r>
      <w:r>
        <w:rPr>
          <w:rFonts w:ascii="Bookman Old Style" w:hAnsi="Bookman Old Style"/>
          <w:snapToGrid w:val="0"/>
          <w:sz w:val="26"/>
          <w:u w:val="single"/>
        </w:rPr>
        <w:t>accord</w:t>
      </w:r>
      <w:r>
        <w:rPr>
          <w:rFonts w:ascii="Bookman Old Style" w:hAnsi="Bookman Old Style"/>
          <w:snapToGrid w:val="0"/>
          <w:sz w:val="26"/>
        </w:rPr>
        <w:t xml:space="preserve"> Thomas Edgar Atkinson, </w:t>
      </w:r>
      <w:r>
        <w:rPr>
          <w:rFonts w:ascii="Bookman Old Style" w:hAnsi="Bookman Old Style"/>
          <w:snapToGrid w:val="0"/>
          <w:sz w:val="26"/>
          <w:u w:val="single"/>
        </w:rPr>
        <w:t>Handbook of the Law of Wills</w:t>
      </w:r>
      <w:r>
        <w:rPr>
          <w:rFonts w:ascii="Bookman Old Style" w:hAnsi="Bookman Old Style"/>
          <w:snapToGrid w:val="0"/>
          <w:sz w:val="26"/>
        </w:rPr>
        <w:t xml:space="preserve"> ¤ 46 (sham wills) &amp; § 83 (conditional wills) (2d ed. 1953).</w:t>
      </w:r>
    </w:p>
    <w:p w:rsidR="00000000" w:rsidRDefault="00BF1806">
      <w:pPr>
        <w:widowControl w:val="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BF1806">
      <w:pPr>
        <w:widowControl w:val="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No reported Alaska decision has formulated a test of testamentary intent for either of the two contexts in which the question</w:t>
      </w:r>
      <w:r>
        <w:rPr>
          <w:rFonts w:ascii="Bookman Old Style" w:hAnsi="Bookman Old Style"/>
          <w:snapToGrid w:val="0"/>
          <w:sz w:val="26"/>
        </w:rPr>
        <w:t xml:space="preserve"> may be presented.  However, AS 13.11.230 states that "[t]he intention of a testator as expressed in the testator's will controls the legal effect of the testator's dispositions."  </w:t>
      </w:r>
    </w:p>
    <w:sectPr w:rsidR="00000000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1806">
      <w:r>
        <w:separator/>
      </w:r>
    </w:p>
  </w:endnote>
  <w:endnote w:type="continuationSeparator" w:id="0">
    <w:p w:rsidR="00000000" w:rsidRDefault="00BF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icag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1806">
    <w:pPr>
      <w:widowControl w:val="0"/>
      <w:tabs>
        <w:tab w:val="right" w:pos="9360"/>
      </w:tabs>
      <w:jc w:val="both"/>
      <w:rPr>
        <w:rFonts w:ascii="Bookman Old Style" w:hAnsi="Bookman Old Style"/>
        <w:snapToGrid w:val="0"/>
        <w:sz w:val="26"/>
      </w:rPr>
    </w:pPr>
    <w:r>
      <w:rPr>
        <w:rFonts w:ascii="Bookman Old Style" w:hAnsi="Bookman Old Style"/>
        <w:snapToGrid w:val="0"/>
        <w:sz w:val="26"/>
      </w:rPr>
      <w:t xml:space="preserve">Withdrawn 1995 </w:t>
    </w:r>
    <w:r>
      <w:rPr>
        <w:rFonts w:ascii="Bookman Old Style" w:hAnsi="Bookman Old Style"/>
        <w:snapToGrid w:val="0"/>
        <w:sz w:val="26"/>
      </w:rPr>
      <w:tab/>
      <w:t>26.09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1806">
      <w:r>
        <w:separator/>
      </w:r>
    </w:p>
  </w:footnote>
  <w:footnote w:type="continuationSeparator" w:id="0">
    <w:p w:rsidR="00000000" w:rsidRDefault="00BF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F1806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right"/>
      <w:rPr>
        <w:rFonts w:ascii="Chicago" w:hAnsi="Chicago"/>
        <w:snapToGrid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072"/>
    <w:rsid w:val="00BF1806"/>
    <w:rsid w:val="00E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>Alaska Court System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Sandy</dc:creator>
  <cp:keywords/>
  <cp:lastModifiedBy>Michael Merrington</cp:lastModifiedBy>
  <cp:revision>3</cp:revision>
  <cp:lastPrinted>2000-09-06T17:04:00Z</cp:lastPrinted>
  <dcterms:created xsi:type="dcterms:W3CDTF">2017-04-04T18:52:00Z</dcterms:created>
  <dcterms:modified xsi:type="dcterms:W3CDTF">2017-04-04T18:52:00Z</dcterms:modified>
</cp:coreProperties>
</file>