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00C5">
      <w:pPr>
        <w:widowControl w:val="0"/>
        <w:ind w:left="1440" w:hanging="1440"/>
        <w:jc w:val="both"/>
        <w:rPr>
          <w:rFonts w:ascii="Bookman Old Style" w:hAnsi="Bookman Old Style"/>
          <w:b/>
          <w:snapToGrid w:val="0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6"/>
        </w:rPr>
        <w:t>26.12</w:t>
      </w:r>
      <w:r>
        <w:rPr>
          <w:rFonts w:ascii="Bookman Old Style" w:hAnsi="Bookman Old Style"/>
          <w:b/>
          <w:snapToGrid w:val="0"/>
          <w:sz w:val="26"/>
        </w:rPr>
        <w:tab/>
        <w:t>CONTRACT TO MAKE A WILL</w:t>
      </w:r>
    </w:p>
    <w:p w:rsidR="00000000" w:rsidRDefault="004200C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No instruction.</w:t>
      </w:r>
    </w:p>
    <w:p w:rsidR="00000000" w:rsidRDefault="004200C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Use Note</w:t>
      </w:r>
    </w:p>
    <w:p w:rsidR="00000000" w:rsidRDefault="004200C5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A separate instruction is not provided.  Instead, the pattern jury instructions on formation of a valid contract, breach of contract, and the defenses thereto should be used.</w:t>
      </w:r>
    </w:p>
    <w:p w:rsidR="00000000" w:rsidRDefault="004200C5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Comment</w:t>
      </w:r>
    </w:p>
    <w:p w:rsidR="00000000" w:rsidRDefault="004200C5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widowControl w:val="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The Alaska </w:t>
      </w:r>
      <w:r>
        <w:rPr>
          <w:rFonts w:ascii="Bookman Old Style" w:hAnsi="Bookman Old Style"/>
          <w:snapToGrid w:val="0"/>
          <w:sz w:val="26"/>
        </w:rPr>
        <w:t xml:space="preserve">Supreme Court has held that "[a]n individual may make a valid, binding contract to devise or bequeath property in a specified manner." 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McBain</w:t>
      </w:r>
      <w:proofErr w:type="spellEnd"/>
      <w:r>
        <w:rPr>
          <w:rFonts w:ascii="Bookman Old Style" w:hAnsi="Bookman Old Style"/>
          <w:snapToGrid w:val="0"/>
          <w:sz w:val="26"/>
          <w:u w:val="single"/>
        </w:rPr>
        <w:t xml:space="preserve"> v. Pratt</w:t>
      </w:r>
      <w:r>
        <w:rPr>
          <w:rFonts w:ascii="Bookman Old Style" w:hAnsi="Bookman Old Style"/>
          <w:snapToGrid w:val="0"/>
          <w:sz w:val="26"/>
        </w:rPr>
        <w:t>, 514 P.2d 823, 826 (Alaska 1973).  The law of contracts governs the validity of such an agreement.  Thom</w:t>
      </w:r>
      <w:r>
        <w:rPr>
          <w:rFonts w:ascii="Bookman Old Style" w:hAnsi="Bookman Old Style"/>
          <w:snapToGrid w:val="0"/>
          <w:sz w:val="26"/>
        </w:rPr>
        <w:t xml:space="preserve">as Edgar Atkinson, </w:t>
      </w:r>
      <w:r>
        <w:rPr>
          <w:rFonts w:ascii="Bookman Old Style" w:hAnsi="Bookman Old Style"/>
          <w:snapToGrid w:val="0"/>
          <w:sz w:val="26"/>
          <w:u w:val="single"/>
        </w:rPr>
        <w:t>Handbook of the Law of Wills</w:t>
      </w:r>
      <w:r>
        <w:rPr>
          <w:rFonts w:ascii="Bookman Old Style" w:hAnsi="Bookman Old Style"/>
          <w:snapToGrid w:val="0"/>
          <w:sz w:val="26"/>
        </w:rPr>
        <w:t xml:space="preserve"> § 48 (2d ed. 1953).  "If the </w:t>
      </w:r>
      <w:proofErr w:type="spellStart"/>
      <w:r>
        <w:rPr>
          <w:rFonts w:ascii="Bookman Old Style" w:hAnsi="Bookman Old Style"/>
          <w:snapToGrid w:val="0"/>
          <w:sz w:val="26"/>
        </w:rPr>
        <w:t>promisor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 dies and through his will does not make the agreed testamentary gift, a breach of contract occurs." 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McBain</w:t>
      </w:r>
      <w:proofErr w:type="spellEnd"/>
      <w:r>
        <w:rPr>
          <w:rFonts w:ascii="Bookman Old Style" w:hAnsi="Bookman Old Style"/>
          <w:snapToGrid w:val="0"/>
          <w:sz w:val="26"/>
          <w:u w:val="single"/>
        </w:rPr>
        <w:t xml:space="preserve"> v. Pratt</w:t>
      </w:r>
      <w:r>
        <w:rPr>
          <w:rFonts w:ascii="Bookman Old Style" w:hAnsi="Bookman Old Style"/>
          <w:snapToGrid w:val="0"/>
          <w:sz w:val="26"/>
        </w:rPr>
        <w:t>, 514 P.2d at 826.  While "any will is revocable, incl</w:t>
      </w:r>
      <w:r>
        <w:rPr>
          <w:rFonts w:ascii="Bookman Old Style" w:hAnsi="Bookman Old Style"/>
          <w:snapToGrid w:val="0"/>
          <w:sz w:val="26"/>
        </w:rPr>
        <w:t xml:space="preserve">uding one executed in performance of an irrevocable contract," damages can be had for breach of the contract.  </w:t>
      </w:r>
      <w:r>
        <w:rPr>
          <w:rFonts w:ascii="Bookman Old Style" w:hAnsi="Bookman Old Style"/>
          <w:snapToGrid w:val="0"/>
          <w:sz w:val="26"/>
          <w:u w:val="single"/>
        </w:rPr>
        <w:t>Id.</w:t>
      </w:r>
      <w:r>
        <w:rPr>
          <w:rFonts w:ascii="Bookman Old Style" w:hAnsi="Bookman Old Style"/>
          <w:snapToGrid w:val="0"/>
          <w:sz w:val="26"/>
        </w:rPr>
        <w:t xml:space="preserve">  Further, "where a </w:t>
      </w:r>
      <w:proofErr w:type="spellStart"/>
      <w:r>
        <w:rPr>
          <w:rFonts w:ascii="Bookman Old Style" w:hAnsi="Bookman Old Style"/>
          <w:snapToGrid w:val="0"/>
          <w:sz w:val="26"/>
        </w:rPr>
        <w:t>promisor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 has agreed to alternative performances, and there has been a breach of contract, the measure of damages is the va</w:t>
      </w:r>
      <w:r>
        <w:rPr>
          <w:rFonts w:ascii="Bookman Old Style" w:hAnsi="Bookman Old Style"/>
          <w:snapToGrid w:val="0"/>
          <w:sz w:val="26"/>
        </w:rPr>
        <w:t xml:space="preserve">lue of the least onerous alternative."  </w:t>
      </w:r>
      <w:r>
        <w:rPr>
          <w:rFonts w:ascii="Bookman Old Style" w:hAnsi="Bookman Old Style"/>
          <w:snapToGrid w:val="0"/>
          <w:sz w:val="26"/>
          <w:u w:val="single"/>
        </w:rPr>
        <w:t>Id</w:t>
      </w:r>
      <w:r>
        <w:rPr>
          <w:rFonts w:ascii="Bookman Old Style" w:hAnsi="Bookman Old Style"/>
          <w:snapToGrid w:val="0"/>
          <w:sz w:val="26"/>
        </w:rPr>
        <w:t xml:space="preserve">. at 826-27.  </w:t>
      </w:r>
      <w:r>
        <w:rPr>
          <w:rFonts w:ascii="Bookman Old Style" w:hAnsi="Bookman Old Style"/>
          <w:snapToGrid w:val="0"/>
          <w:sz w:val="26"/>
          <w:u w:val="single"/>
        </w:rPr>
        <w:t>See generally</w:t>
      </w:r>
      <w:r>
        <w:rPr>
          <w:rFonts w:ascii="Bookman Old Style" w:hAnsi="Bookman Old Style"/>
          <w:snapToGrid w:val="0"/>
          <w:sz w:val="26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6"/>
        </w:rPr>
        <w:t>Bertel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 M. Sparks, </w:t>
      </w:r>
      <w:r>
        <w:rPr>
          <w:rFonts w:ascii="Bookman Old Style" w:hAnsi="Bookman Old Style"/>
          <w:snapToGrid w:val="0"/>
          <w:sz w:val="26"/>
          <w:u w:val="single"/>
        </w:rPr>
        <w:t>Contracts to Make Wills</w:t>
      </w:r>
      <w:r>
        <w:rPr>
          <w:rFonts w:ascii="Bookman Old Style" w:hAnsi="Bookman Old Style"/>
          <w:snapToGrid w:val="0"/>
          <w:sz w:val="26"/>
        </w:rPr>
        <w:t xml:space="preserve"> (1956); Thomas Edgar Atkinson, </w:t>
      </w:r>
      <w:r>
        <w:rPr>
          <w:rFonts w:ascii="Bookman Old Style" w:hAnsi="Bookman Old Style"/>
          <w:snapToGrid w:val="0"/>
          <w:sz w:val="26"/>
          <w:u w:val="single"/>
        </w:rPr>
        <w:t>Handbook of the Law of Wills</w:t>
      </w:r>
      <w:r>
        <w:rPr>
          <w:rFonts w:ascii="Bookman Old Style" w:hAnsi="Bookman Old Style"/>
          <w:snapToGrid w:val="0"/>
          <w:sz w:val="26"/>
        </w:rPr>
        <w:t xml:space="preserve"> § 48 (2d ed. 1953).</w:t>
      </w:r>
    </w:p>
    <w:p w:rsidR="00000000" w:rsidRDefault="004200C5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4200C5">
      <w:pPr>
        <w:pStyle w:val="BodyText"/>
      </w:pPr>
      <w:r>
        <w:t>The trial judge should keep in mind that the statute of frauds,</w:t>
      </w:r>
      <w:r>
        <w:t xml:space="preserve"> AS 09.25.010 (a)(2), requires a writing for enforceability of a "contract to bequeath property or make a testamentary disposition of any kind."</w:t>
      </w:r>
    </w:p>
    <w:sectPr w:rsidR="00000000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00C5">
      <w:r>
        <w:separator/>
      </w:r>
    </w:p>
  </w:endnote>
  <w:endnote w:type="continuationSeparator" w:id="0">
    <w:p w:rsidR="00000000" w:rsidRDefault="0042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00C5">
    <w:pPr>
      <w:widowControl w:val="0"/>
      <w:tabs>
        <w:tab w:val="right" w:pos="9360"/>
      </w:tabs>
      <w:jc w:val="both"/>
      <w:rPr>
        <w:rFonts w:ascii="Bookman Old Style" w:hAnsi="Bookman Old Style"/>
        <w:snapToGrid w:val="0"/>
        <w:sz w:val="26"/>
      </w:rPr>
    </w:pPr>
    <w:r>
      <w:rPr>
        <w:rFonts w:ascii="Bookman Old Style" w:hAnsi="Bookman Old Style"/>
        <w:snapToGrid w:val="0"/>
        <w:sz w:val="26"/>
      </w:rPr>
      <w:t xml:space="preserve">Revised 1995 </w:t>
    </w:r>
    <w:r>
      <w:rPr>
        <w:rFonts w:ascii="Bookman Old Style" w:hAnsi="Bookman Old Style"/>
        <w:snapToGrid w:val="0"/>
        <w:sz w:val="26"/>
      </w:rPr>
      <w:tab/>
      <w:t>26.12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00C5">
      <w:r>
        <w:separator/>
      </w:r>
    </w:p>
  </w:footnote>
  <w:footnote w:type="continuationSeparator" w:id="0">
    <w:p w:rsidR="00000000" w:rsidRDefault="0042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200C5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rFonts w:ascii="Chicago" w:hAnsi="Chicago"/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41"/>
    <w:rsid w:val="004200C5"/>
    <w:rsid w:val="00E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jc w:val="both"/>
    </w:pPr>
    <w:rPr>
      <w:rFonts w:ascii="Bookman Old Style" w:hAnsi="Bookman Old Style"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jc w:val="both"/>
    </w:pPr>
    <w:rPr>
      <w:rFonts w:ascii="Bookman Old Style" w:hAnsi="Bookman Old Style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>Alaska Court System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Sandy</dc:creator>
  <cp:keywords/>
  <cp:lastModifiedBy>Michael Merrington</cp:lastModifiedBy>
  <cp:revision>3</cp:revision>
  <cp:lastPrinted>2000-09-06T17:20:00Z</cp:lastPrinted>
  <dcterms:created xsi:type="dcterms:W3CDTF">2017-04-04T18:53:00Z</dcterms:created>
  <dcterms:modified xsi:type="dcterms:W3CDTF">2017-04-04T18:53:00Z</dcterms:modified>
</cp:coreProperties>
</file>