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41DC5">
      <w:pPr>
        <w:pStyle w:val="PlainText"/>
        <w:ind w:left="1440" w:hanging="1440"/>
        <w:jc w:val="both"/>
        <w:rPr>
          <w:rFonts w:ascii="Bookman Old Style" w:hAnsi="Bookman Old Style"/>
          <w:b/>
          <w:sz w:val="26"/>
        </w:rPr>
      </w:pPr>
      <w:bookmarkStart w:id="0" w:name="_GoBack"/>
      <w:bookmarkEnd w:id="0"/>
      <w:r>
        <w:rPr>
          <w:rFonts w:ascii="Bookman Old Style" w:hAnsi="Bookman Old Style"/>
          <w:b/>
          <w:sz w:val="26"/>
        </w:rPr>
        <w:t>27.00</w:t>
      </w:r>
      <w:r>
        <w:rPr>
          <w:rFonts w:ascii="Bookman Old Style" w:hAnsi="Bookman Old Style"/>
          <w:b/>
          <w:sz w:val="26"/>
        </w:rPr>
        <w:tab/>
        <w:t>EMINENT DOMAIN – INTRODUCTORY USE NOTE AND COMMENT</w:t>
      </w:r>
    </w:p>
    <w:p w:rsidR="00000000" w:rsidRDefault="00341DC5">
      <w:pPr>
        <w:pStyle w:val="PlainText"/>
        <w:jc w:val="both"/>
        <w:rPr>
          <w:rFonts w:ascii="Bookman Old Style" w:hAnsi="Bookman Old Style"/>
          <w:sz w:val="26"/>
        </w:rPr>
      </w:pPr>
    </w:p>
    <w:p w:rsidR="00000000" w:rsidRDefault="00341DC5">
      <w:pPr>
        <w:pStyle w:val="PlainText"/>
        <w:jc w:val="both"/>
        <w:rPr>
          <w:rFonts w:ascii="Bookman Old Style" w:hAnsi="Bookman Old Style"/>
          <w:sz w:val="26"/>
        </w:rPr>
      </w:pPr>
    </w:p>
    <w:p w:rsidR="00000000" w:rsidRDefault="00341DC5">
      <w:pPr>
        <w:pStyle w:val="PlainText"/>
        <w:jc w:val="center"/>
        <w:rPr>
          <w:rFonts w:ascii="Bookman Old Style" w:hAnsi="Bookman Old Style"/>
          <w:sz w:val="26"/>
          <w:u w:val="single"/>
        </w:rPr>
      </w:pPr>
      <w:r>
        <w:rPr>
          <w:rFonts w:ascii="Bookman Old Style" w:hAnsi="Bookman Old Style"/>
          <w:sz w:val="26"/>
          <w:u w:val="single"/>
        </w:rPr>
        <w:t>Use Note</w:t>
      </w:r>
    </w:p>
    <w:p w:rsidR="00000000" w:rsidRDefault="00341DC5">
      <w:pPr>
        <w:pStyle w:val="PlainText"/>
        <w:jc w:val="both"/>
        <w:rPr>
          <w:rFonts w:ascii="Bookman Old Style" w:hAnsi="Bookman Old Style"/>
          <w:sz w:val="26"/>
        </w:rPr>
      </w:pPr>
    </w:p>
    <w:p w:rsidR="00000000" w:rsidRDefault="00341DC5">
      <w:pPr>
        <w:pStyle w:val="PlainText"/>
        <w:jc w:val="both"/>
        <w:rPr>
          <w:rFonts w:ascii="Bookman Old Style" w:hAnsi="Bookman Old Style"/>
          <w:sz w:val="26"/>
        </w:rPr>
      </w:pPr>
      <w:r>
        <w:rPr>
          <w:rFonts w:ascii="Bookman Old Style" w:hAnsi="Bookman Old Style"/>
          <w:sz w:val="26"/>
        </w:rPr>
        <w:t>These instructions are not appropriate in every case.  In some cases supplementary or cautionary instructions must be specially drafted and given.</w:t>
      </w:r>
    </w:p>
    <w:p w:rsidR="00000000" w:rsidRDefault="00341DC5">
      <w:pPr>
        <w:pStyle w:val="PlainText"/>
        <w:jc w:val="both"/>
        <w:rPr>
          <w:rFonts w:ascii="Bookman Old Style" w:hAnsi="Bookman Old Style"/>
          <w:sz w:val="26"/>
        </w:rPr>
      </w:pPr>
    </w:p>
    <w:p w:rsidR="00000000" w:rsidRDefault="00341DC5">
      <w:pPr>
        <w:pStyle w:val="PlainText"/>
        <w:jc w:val="both"/>
        <w:rPr>
          <w:rFonts w:ascii="Bookman Old Style" w:hAnsi="Bookman Old Style"/>
          <w:sz w:val="26"/>
        </w:rPr>
      </w:pPr>
      <w:r>
        <w:rPr>
          <w:rFonts w:ascii="Bookman Old Style" w:hAnsi="Bookman Old Style"/>
          <w:sz w:val="26"/>
        </w:rPr>
        <w:t>Generally, the appropriate instructions</w:t>
      </w:r>
      <w:r>
        <w:rPr>
          <w:rFonts w:ascii="Bookman Old Style" w:hAnsi="Bookman Old Style"/>
          <w:sz w:val="26"/>
        </w:rPr>
        <w:t xml:space="preserve"> should be given in numerical order.  Thus, Instruction 27.01 should precede Instruction 27.02.</w:t>
      </w:r>
    </w:p>
    <w:p w:rsidR="00000000" w:rsidRDefault="00341DC5">
      <w:pPr>
        <w:pStyle w:val="PlainText"/>
        <w:jc w:val="both"/>
        <w:rPr>
          <w:rFonts w:ascii="Bookman Old Style" w:hAnsi="Bookman Old Style"/>
          <w:sz w:val="26"/>
        </w:rPr>
      </w:pPr>
    </w:p>
    <w:p w:rsidR="00000000" w:rsidRDefault="00341DC5">
      <w:pPr>
        <w:pStyle w:val="PlainText"/>
        <w:jc w:val="both"/>
        <w:rPr>
          <w:rFonts w:ascii="Bookman Old Style" w:hAnsi="Bookman Old Style"/>
          <w:sz w:val="26"/>
        </w:rPr>
      </w:pPr>
      <w:r>
        <w:rPr>
          <w:rFonts w:ascii="Bookman Old Style" w:hAnsi="Bookman Old Style"/>
          <w:sz w:val="26"/>
        </w:rPr>
        <w:t xml:space="preserve">Special verdict forms should be used whenever the jury must compute more than one value.  Recommended forms are included.  </w:t>
      </w:r>
    </w:p>
    <w:p w:rsidR="00000000" w:rsidRDefault="00341DC5">
      <w:pPr>
        <w:pStyle w:val="PlainText"/>
        <w:jc w:val="both"/>
        <w:rPr>
          <w:rFonts w:ascii="Bookman Old Style" w:hAnsi="Bookman Old Style"/>
          <w:sz w:val="26"/>
        </w:rPr>
      </w:pPr>
    </w:p>
    <w:p w:rsidR="00000000" w:rsidRDefault="00341DC5">
      <w:pPr>
        <w:pStyle w:val="PlainText"/>
        <w:jc w:val="center"/>
        <w:rPr>
          <w:rFonts w:ascii="Bookman Old Style" w:hAnsi="Bookman Old Style"/>
          <w:sz w:val="26"/>
          <w:u w:val="single"/>
        </w:rPr>
      </w:pPr>
      <w:r>
        <w:rPr>
          <w:rFonts w:ascii="Bookman Old Style" w:hAnsi="Bookman Old Style"/>
          <w:sz w:val="26"/>
          <w:u w:val="single"/>
        </w:rPr>
        <w:t>Comment</w:t>
      </w:r>
    </w:p>
    <w:p w:rsidR="00000000" w:rsidRDefault="00341DC5">
      <w:pPr>
        <w:pStyle w:val="PlainText"/>
        <w:jc w:val="both"/>
        <w:rPr>
          <w:rFonts w:ascii="Bookman Old Style" w:hAnsi="Bookman Old Style"/>
          <w:sz w:val="26"/>
        </w:rPr>
      </w:pPr>
    </w:p>
    <w:p w:rsidR="00000000" w:rsidRDefault="00341DC5">
      <w:pPr>
        <w:pStyle w:val="PlainText"/>
        <w:ind w:left="720" w:hanging="720"/>
        <w:jc w:val="both"/>
        <w:rPr>
          <w:rFonts w:ascii="Bookman Old Style" w:hAnsi="Bookman Old Style"/>
          <w:sz w:val="26"/>
        </w:rPr>
      </w:pPr>
      <w:r>
        <w:rPr>
          <w:rFonts w:ascii="Bookman Old Style" w:hAnsi="Bookman Old Style"/>
          <w:sz w:val="26"/>
        </w:rPr>
        <w:t>A.</w:t>
      </w:r>
      <w:r>
        <w:rPr>
          <w:rFonts w:ascii="Bookman Old Style" w:hAnsi="Bookman Old Style"/>
          <w:sz w:val="26"/>
        </w:rPr>
        <w:tab/>
        <w:t>General Law.  The Alas</w:t>
      </w:r>
      <w:r>
        <w:rPr>
          <w:rFonts w:ascii="Bookman Old Style" w:hAnsi="Bookman Old Style"/>
          <w:sz w:val="26"/>
        </w:rPr>
        <w:t xml:space="preserve">ka Constitution provides that "[p]rivate property shall not be taken or damaged for public use without just compensation."  Alaska Const. art. I, § 18.  This provision provides broader protection for private property rights than the Fifth Amendment to the </w:t>
      </w:r>
      <w:r>
        <w:rPr>
          <w:rFonts w:ascii="Bookman Old Style" w:hAnsi="Bookman Old Style"/>
          <w:sz w:val="26"/>
        </w:rPr>
        <w:t xml:space="preserve">United States Constitution, </w:t>
      </w:r>
      <w:r>
        <w:rPr>
          <w:rFonts w:ascii="Bookman Old Style" w:hAnsi="Bookman Old Style"/>
          <w:sz w:val="26"/>
          <w:u w:val="single"/>
        </w:rPr>
        <w:t>State v. Doyle</w:t>
      </w:r>
      <w:r>
        <w:rPr>
          <w:rFonts w:ascii="Bookman Old Style" w:hAnsi="Bookman Old Style"/>
          <w:sz w:val="26"/>
        </w:rPr>
        <w:t xml:space="preserve">, 735 P.2d 733, 735-36 (Alaska 1987), and it is liberally construed in favor of the landowner.  </w:t>
      </w:r>
      <w:r>
        <w:rPr>
          <w:rFonts w:ascii="Bookman Old Style" w:hAnsi="Bookman Old Style"/>
          <w:sz w:val="26"/>
          <w:u w:val="single"/>
        </w:rPr>
        <w:t>Alsop v. State</w:t>
      </w:r>
      <w:r>
        <w:rPr>
          <w:rFonts w:ascii="Bookman Old Style" w:hAnsi="Bookman Old Style"/>
          <w:sz w:val="26"/>
        </w:rPr>
        <w:t xml:space="preserve">, 586 P.2d 1236, 1239 (Alaska 1978); </w:t>
      </w:r>
      <w:r>
        <w:rPr>
          <w:rFonts w:ascii="Bookman Old Style" w:hAnsi="Bookman Old Style"/>
          <w:sz w:val="26"/>
          <w:u w:val="single"/>
        </w:rPr>
        <w:t>see</w:t>
      </w:r>
      <w:r>
        <w:rPr>
          <w:rFonts w:ascii="Bookman Old Style" w:hAnsi="Bookman Old Style"/>
          <w:sz w:val="26"/>
        </w:rPr>
        <w:t xml:space="preserve"> </w:t>
      </w:r>
      <w:r>
        <w:rPr>
          <w:rFonts w:ascii="Bookman Old Style" w:hAnsi="Bookman Old Style"/>
          <w:sz w:val="26"/>
          <w:u w:val="single"/>
        </w:rPr>
        <w:t>also</w:t>
      </w:r>
      <w:r>
        <w:rPr>
          <w:rFonts w:ascii="Bookman Old Style" w:hAnsi="Bookman Old Style"/>
          <w:sz w:val="26"/>
        </w:rPr>
        <w:t xml:space="preserve"> </w:t>
      </w:r>
      <w:r>
        <w:rPr>
          <w:rFonts w:ascii="Bookman Old Style" w:hAnsi="Bookman Old Style"/>
          <w:sz w:val="26"/>
          <w:u w:val="single"/>
        </w:rPr>
        <w:t>Kasnick v. State</w:t>
      </w:r>
      <w:r>
        <w:rPr>
          <w:rFonts w:ascii="Bookman Old Style" w:hAnsi="Bookman Old Style"/>
          <w:sz w:val="26"/>
        </w:rPr>
        <w:t>, 799 P.2d 777, 780 (Alaska 1990).  The Al</w:t>
      </w:r>
      <w:r>
        <w:rPr>
          <w:rFonts w:ascii="Bookman Old Style" w:hAnsi="Bookman Old Style"/>
          <w:sz w:val="26"/>
        </w:rPr>
        <w:t>aska Statutes deal with the eminent domain power in the Code of Civil Procedure, AS 09.55.240 et seq.  The Alaska Supreme Court's Civil Rule 72 governs eminent domain proceedings.</w:t>
      </w:r>
    </w:p>
    <w:p w:rsidR="00000000" w:rsidRDefault="00341DC5">
      <w:pPr>
        <w:pStyle w:val="PlainText"/>
        <w:jc w:val="both"/>
        <w:rPr>
          <w:rFonts w:ascii="Bookman Old Style" w:hAnsi="Bookman Old Style"/>
          <w:sz w:val="26"/>
        </w:rPr>
      </w:pPr>
    </w:p>
    <w:p w:rsidR="00000000" w:rsidRDefault="00341DC5">
      <w:pPr>
        <w:pStyle w:val="PlainText"/>
        <w:jc w:val="both"/>
        <w:rPr>
          <w:rFonts w:ascii="Bookman Old Style" w:hAnsi="Bookman Old Style"/>
          <w:sz w:val="26"/>
        </w:rPr>
      </w:pPr>
      <w:r>
        <w:rPr>
          <w:rFonts w:ascii="Bookman Old Style" w:hAnsi="Bookman Old Style"/>
          <w:sz w:val="26"/>
        </w:rPr>
        <w:t>The following instructions may be used regardless of whether title is taken</w:t>
      </w:r>
      <w:r>
        <w:rPr>
          <w:rFonts w:ascii="Bookman Old Style" w:hAnsi="Bookman Old Style"/>
          <w:sz w:val="26"/>
        </w:rPr>
        <w:t xml:space="preserve"> through (1) a traditional condemnation action (a "slow take") or (2) a declaration of taking (a "quick take").  In the third kind of taking, an inverse condemnation, some of these instructions may not apply and others may be needed.  </w:t>
      </w:r>
      <w:r>
        <w:rPr>
          <w:rFonts w:ascii="Bookman Old Style" w:hAnsi="Bookman Old Style"/>
          <w:sz w:val="26"/>
          <w:u w:val="single"/>
        </w:rPr>
        <w:t>State v. Crosby</w:t>
      </w:r>
      <w:r>
        <w:rPr>
          <w:rFonts w:ascii="Bookman Old Style" w:hAnsi="Bookman Old Style"/>
          <w:sz w:val="26"/>
        </w:rPr>
        <w:t xml:space="preserve">, 410 </w:t>
      </w:r>
      <w:r>
        <w:rPr>
          <w:rFonts w:ascii="Bookman Old Style" w:hAnsi="Bookman Old Style"/>
          <w:sz w:val="26"/>
        </w:rPr>
        <w:t xml:space="preserve">P.2d 724, 728-29 (Alaska 1966).  (Because "inverse condemnation" is an action in condemnation, the same instructions for determining condemnation apply as in the two statutory condemnation actions.).  </w:t>
      </w:r>
      <w:r>
        <w:rPr>
          <w:rFonts w:ascii="Bookman Old Style" w:hAnsi="Bookman Old Style"/>
          <w:sz w:val="26"/>
          <w:u w:val="single"/>
        </w:rPr>
        <w:t>See</w:t>
      </w:r>
      <w:r>
        <w:rPr>
          <w:rFonts w:ascii="Bookman Old Style" w:hAnsi="Bookman Old Style"/>
          <w:sz w:val="26"/>
        </w:rPr>
        <w:t xml:space="preserve"> </w:t>
      </w:r>
      <w:r>
        <w:rPr>
          <w:rFonts w:ascii="Bookman Old Style" w:hAnsi="Bookman Old Style"/>
          <w:sz w:val="26"/>
          <w:u w:val="single"/>
        </w:rPr>
        <w:t>generally</w:t>
      </w:r>
      <w:r>
        <w:rPr>
          <w:rFonts w:ascii="Bookman Old Style" w:hAnsi="Bookman Old Style"/>
          <w:sz w:val="26"/>
        </w:rPr>
        <w:t xml:space="preserve"> </w:t>
      </w:r>
      <w:r>
        <w:rPr>
          <w:rFonts w:ascii="Bookman Old Style" w:hAnsi="Bookman Old Style"/>
          <w:sz w:val="26"/>
          <w:u w:val="single"/>
        </w:rPr>
        <w:t>Bakke v. State</w:t>
      </w:r>
      <w:r>
        <w:rPr>
          <w:rFonts w:ascii="Bookman Old Style" w:hAnsi="Bookman Old Style"/>
          <w:sz w:val="26"/>
        </w:rPr>
        <w:t>, 744 P.2d 655, 657 (Alaska</w:t>
      </w:r>
      <w:r>
        <w:rPr>
          <w:rFonts w:ascii="Bookman Old Style" w:hAnsi="Bookman Old Style"/>
          <w:sz w:val="26"/>
        </w:rPr>
        <w:t xml:space="preserve"> 1987); </w:t>
      </w:r>
      <w:r>
        <w:rPr>
          <w:rFonts w:ascii="Bookman Old Style" w:hAnsi="Bookman Old Style"/>
          <w:sz w:val="26"/>
          <w:u w:val="single"/>
        </w:rPr>
        <w:t>State v. Doyle</w:t>
      </w:r>
      <w:r>
        <w:rPr>
          <w:rFonts w:ascii="Bookman Old Style" w:hAnsi="Bookman Old Style"/>
          <w:sz w:val="26"/>
        </w:rPr>
        <w:t xml:space="preserve">, 735 P.2d 733, 735-36 (Alaska 1987); </w:t>
      </w:r>
      <w:r>
        <w:rPr>
          <w:rFonts w:ascii="Bookman Old Style" w:hAnsi="Bookman Old Style"/>
          <w:sz w:val="26"/>
          <w:u w:val="single"/>
        </w:rPr>
        <w:t>State v. Lewis</w:t>
      </w:r>
      <w:r>
        <w:rPr>
          <w:rFonts w:ascii="Bookman Old Style" w:hAnsi="Bookman Old Style"/>
          <w:sz w:val="26"/>
        </w:rPr>
        <w:t>, 785 P.2d 24 (Alaska 1990) (similar instructions given in consolidated case involving inverse and statutory taking cases).</w:t>
      </w:r>
    </w:p>
    <w:p w:rsidR="00000000" w:rsidRDefault="00341DC5">
      <w:pPr>
        <w:pStyle w:val="PlainText"/>
        <w:ind w:left="720" w:hanging="720"/>
        <w:jc w:val="both"/>
        <w:rPr>
          <w:rFonts w:ascii="Bookman Old Style" w:hAnsi="Bookman Old Style"/>
          <w:sz w:val="26"/>
        </w:rPr>
      </w:pPr>
      <w:r>
        <w:rPr>
          <w:rFonts w:ascii="Bookman Old Style" w:hAnsi="Bookman Old Style"/>
          <w:sz w:val="26"/>
        </w:rPr>
        <w:lastRenderedPageBreak/>
        <w:t>B.</w:t>
      </w:r>
      <w:r>
        <w:rPr>
          <w:rFonts w:ascii="Bookman Old Style" w:hAnsi="Bookman Old Style"/>
          <w:sz w:val="26"/>
        </w:rPr>
        <w:tab/>
        <w:t>Burden of Proof.  There is no burden of proof of just c</w:t>
      </w:r>
      <w:r>
        <w:rPr>
          <w:rFonts w:ascii="Bookman Old Style" w:hAnsi="Bookman Old Style"/>
          <w:sz w:val="26"/>
        </w:rPr>
        <w:t xml:space="preserve">ompensation for the value of real property taken.  </w:t>
      </w:r>
      <w:r>
        <w:rPr>
          <w:rFonts w:ascii="Bookman Old Style" w:hAnsi="Bookman Old Style"/>
          <w:sz w:val="26"/>
          <w:u w:val="single"/>
        </w:rPr>
        <w:t>Ketchikan Cold Storage Co. v. State</w:t>
      </w:r>
      <w:r>
        <w:rPr>
          <w:rFonts w:ascii="Bookman Old Style" w:hAnsi="Bookman Old Style"/>
          <w:sz w:val="26"/>
        </w:rPr>
        <w:t xml:space="preserve">, 491 P.2d 143, 153 (Alaska 1971); </w:t>
      </w:r>
      <w:r>
        <w:rPr>
          <w:rFonts w:ascii="Bookman Old Style" w:hAnsi="Bookman Old Style"/>
          <w:sz w:val="26"/>
          <w:u w:val="single"/>
        </w:rPr>
        <w:t>State v. 45,621 Square Feet of Land</w:t>
      </w:r>
      <w:r>
        <w:rPr>
          <w:rFonts w:ascii="Bookman Old Style" w:hAnsi="Bookman Old Style"/>
          <w:sz w:val="26"/>
        </w:rPr>
        <w:t xml:space="preserve">, 475 P.2d 553, 554-55 (Alaska 1970), overruling </w:t>
      </w:r>
      <w:r>
        <w:rPr>
          <w:rFonts w:ascii="Bookman Old Style" w:hAnsi="Bookman Old Style"/>
          <w:sz w:val="26"/>
          <w:u w:val="single"/>
        </w:rPr>
        <w:t>Alaska State Housing Authority v. Vincent</w:t>
      </w:r>
      <w:r>
        <w:rPr>
          <w:rFonts w:ascii="Bookman Old Style" w:hAnsi="Bookman Old Style"/>
          <w:sz w:val="26"/>
        </w:rPr>
        <w:t>, 396 P.2d</w:t>
      </w:r>
      <w:r>
        <w:rPr>
          <w:rFonts w:ascii="Bookman Old Style" w:hAnsi="Bookman Old Style"/>
          <w:sz w:val="26"/>
        </w:rPr>
        <w:t xml:space="preserve"> 531, 533 (Alaska 1964).  However, there may be circumstances, such as when special damages are alleged, when a burden of proof may fall on the injured party.  </w:t>
      </w:r>
      <w:r>
        <w:rPr>
          <w:rFonts w:ascii="Bookman Old Style" w:hAnsi="Bookman Old Style"/>
          <w:sz w:val="26"/>
          <w:u w:val="single"/>
        </w:rPr>
        <w:t>See</w:t>
      </w:r>
      <w:r>
        <w:rPr>
          <w:rFonts w:ascii="Bookman Old Style" w:hAnsi="Bookman Old Style"/>
          <w:sz w:val="26"/>
        </w:rPr>
        <w:t xml:space="preserve"> </w:t>
      </w:r>
      <w:r>
        <w:rPr>
          <w:rFonts w:ascii="Bookman Old Style" w:hAnsi="Bookman Old Style"/>
          <w:sz w:val="26"/>
          <w:u w:val="single"/>
        </w:rPr>
        <w:t>State v. Hammer</w:t>
      </w:r>
      <w:r>
        <w:rPr>
          <w:rFonts w:ascii="Bookman Old Style" w:hAnsi="Bookman Old Style"/>
          <w:sz w:val="26"/>
        </w:rPr>
        <w:t xml:space="preserve">, 550 P.2d 820, 827 (Alaska 1976) (lost profits); </w:t>
      </w:r>
      <w:r>
        <w:rPr>
          <w:rFonts w:ascii="Bookman Old Style" w:hAnsi="Bookman Old Style"/>
          <w:sz w:val="26"/>
          <w:u w:val="single"/>
        </w:rPr>
        <w:t>State v. Ness</w:t>
      </w:r>
      <w:r>
        <w:rPr>
          <w:rFonts w:ascii="Bookman Old Style" w:hAnsi="Bookman Old Style"/>
          <w:sz w:val="26"/>
        </w:rPr>
        <w:t>, 516 P.2d 121</w:t>
      </w:r>
      <w:r>
        <w:rPr>
          <w:rFonts w:ascii="Bookman Old Style" w:hAnsi="Bookman Old Style"/>
          <w:sz w:val="26"/>
        </w:rPr>
        <w:t>2, 1214 n.11 (Alaska 1973) (damage to personal property).</w:t>
      </w:r>
    </w:p>
    <w:p w:rsidR="00000000" w:rsidRDefault="00341DC5">
      <w:pPr>
        <w:pStyle w:val="PlainText"/>
        <w:jc w:val="both"/>
        <w:rPr>
          <w:rFonts w:ascii="Bookman Old Style" w:hAnsi="Bookman Old Style"/>
          <w:sz w:val="26"/>
        </w:rPr>
      </w:pPr>
    </w:p>
    <w:p w:rsidR="00000000" w:rsidRDefault="00341DC5">
      <w:pPr>
        <w:pStyle w:val="PlainText"/>
        <w:ind w:left="720" w:hanging="720"/>
        <w:jc w:val="both"/>
        <w:rPr>
          <w:rFonts w:ascii="Bookman Old Style" w:hAnsi="Bookman Old Style"/>
          <w:sz w:val="26"/>
        </w:rPr>
      </w:pPr>
      <w:r>
        <w:rPr>
          <w:rFonts w:ascii="Bookman Old Style" w:hAnsi="Bookman Old Style"/>
          <w:sz w:val="26"/>
        </w:rPr>
        <w:t>C.</w:t>
      </w:r>
      <w:r>
        <w:rPr>
          <w:rFonts w:ascii="Bookman Old Style" w:hAnsi="Bookman Old Style"/>
          <w:sz w:val="26"/>
        </w:rPr>
        <w:tab/>
        <w:t>Date of Taking.  The court must determine the date of taking in order to establish the date of valuation.  (The sections of the Alaska Statutes specifying jury responsibility do not mention a ju</w:t>
      </w:r>
      <w:r>
        <w:rPr>
          <w:rFonts w:ascii="Bookman Old Style" w:hAnsi="Bookman Old Style"/>
          <w:sz w:val="26"/>
        </w:rPr>
        <w:t xml:space="preserve">ry duty to find a date of taking.  AS 09.55.310-.320; cf. AS 09.55.300.)  </w:t>
      </w:r>
    </w:p>
    <w:p w:rsidR="00000000" w:rsidRDefault="00341DC5">
      <w:pPr>
        <w:pStyle w:val="PlainText"/>
        <w:jc w:val="both"/>
        <w:rPr>
          <w:rFonts w:ascii="Bookman Old Style" w:hAnsi="Bookman Old Style"/>
          <w:sz w:val="26"/>
        </w:rPr>
      </w:pPr>
    </w:p>
    <w:p w:rsidR="00000000" w:rsidRDefault="00341DC5">
      <w:pPr>
        <w:pStyle w:val="PlainText"/>
        <w:jc w:val="both"/>
        <w:rPr>
          <w:rFonts w:ascii="Bookman Old Style" w:hAnsi="Bookman Old Style"/>
          <w:sz w:val="26"/>
        </w:rPr>
      </w:pPr>
      <w:r>
        <w:rPr>
          <w:rFonts w:ascii="Bookman Old Style" w:hAnsi="Bookman Old Style"/>
          <w:sz w:val="26"/>
        </w:rPr>
        <w:t>There are three alternative means of determining the date of taking.  In "slow take" condemnation proceedings, the effective date of taking is the date of the "issuance of the summ</w:t>
      </w:r>
      <w:r>
        <w:rPr>
          <w:rFonts w:ascii="Bookman Old Style" w:hAnsi="Bookman Old Style"/>
          <w:sz w:val="26"/>
        </w:rPr>
        <w:t xml:space="preserve">ons."  AS 09.55.330.  The Alaska Supreme Court has never interpreted the precise meaning of "issuance of the summons."  However, the court has held that just compensation is calculated from "the institution of condemnation proceedings."  </w:t>
      </w:r>
      <w:r>
        <w:rPr>
          <w:rFonts w:ascii="Bookman Old Style" w:hAnsi="Bookman Old Style"/>
          <w:sz w:val="26"/>
          <w:u w:val="single"/>
        </w:rPr>
        <w:t>Stewart &amp; Grindle,</w:t>
      </w:r>
      <w:r>
        <w:rPr>
          <w:rFonts w:ascii="Bookman Old Style" w:hAnsi="Bookman Old Style"/>
          <w:sz w:val="26"/>
          <w:u w:val="single"/>
        </w:rPr>
        <w:t xml:space="preserve"> Inc. v. State</w:t>
      </w:r>
      <w:r>
        <w:rPr>
          <w:rFonts w:ascii="Bookman Old Style" w:hAnsi="Bookman Old Style"/>
          <w:sz w:val="26"/>
        </w:rPr>
        <w:t xml:space="preserve">, 524 P.2d 1242, 1248 (Alaska 1974).  In a "quick take," the effective date of the taking is the date that the plaintiff files a declaration of taking and deposits the estimated compensation with the court.  AS 09.55.440(a).  </w:t>
      </w:r>
    </w:p>
    <w:p w:rsidR="00000000" w:rsidRDefault="00341DC5">
      <w:pPr>
        <w:pStyle w:val="PlainText"/>
        <w:jc w:val="both"/>
        <w:rPr>
          <w:rFonts w:ascii="Bookman Old Style" w:hAnsi="Bookman Old Style"/>
          <w:sz w:val="26"/>
        </w:rPr>
      </w:pPr>
    </w:p>
    <w:p w:rsidR="00000000" w:rsidRDefault="00341DC5">
      <w:pPr>
        <w:pStyle w:val="PlainText"/>
        <w:jc w:val="both"/>
        <w:rPr>
          <w:rFonts w:ascii="Bookman Old Style" w:hAnsi="Bookman Old Style"/>
          <w:sz w:val="26"/>
        </w:rPr>
      </w:pPr>
      <w:r>
        <w:rPr>
          <w:rFonts w:ascii="Bookman Old Style" w:hAnsi="Bookman Old Style"/>
          <w:sz w:val="26"/>
        </w:rPr>
        <w:t>The issue beco</w:t>
      </w:r>
      <w:r>
        <w:rPr>
          <w:rFonts w:ascii="Bookman Old Style" w:hAnsi="Bookman Old Style"/>
          <w:sz w:val="26"/>
        </w:rPr>
        <w:t xml:space="preserve">mes more complicated if the taking is by inverse condemnation.  For "physical entry" cases, </w:t>
      </w:r>
      <w:r>
        <w:rPr>
          <w:rFonts w:ascii="Bookman Old Style" w:hAnsi="Bookman Old Style"/>
          <w:sz w:val="26"/>
          <w:u w:val="single"/>
        </w:rPr>
        <w:t>see</w:t>
      </w:r>
      <w:r>
        <w:rPr>
          <w:rFonts w:ascii="Bookman Old Style" w:hAnsi="Bookman Old Style"/>
          <w:sz w:val="26"/>
        </w:rPr>
        <w:t xml:space="preserve"> </w:t>
      </w:r>
      <w:r>
        <w:rPr>
          <w:rFonts w:ascii="Bookman Old Style" w:hAnsi="Bookman Old Style"/>
          <w:sz w:val="26"/>
          <w:u w:val="single"/>
        </w:rPr>
        <w:t>Western Airlines, Inc. v. Lathrop Co.</w:t>
      </w:r>
      <w:r>
        <w:rPr>
          <w:rFonts w:ascii="Bookman Old Style" w:hAnsi="Bookman Old Style"/>
          <w:sz w:val="26"/>
        </w:rPr>
        <w:t xml:space="preserve">, 535 P.2d 1209, 1211 n.4 (Alaska 1975); </w:t>
      </w:r>
      <w:r>
        <w:rPr>
          <w:rFonts w:ascii="Bookman Old Style" w:hAnsi="Bookman Old Style"/>
          <w:sz w:val="26"/>
          <w:u w:val="single"/>
        </w:rPr>
        <w:t>Stewart &amp; Grindle, Inc. v. State</w:t>
      </w:r>
      <w:r>
        <w:rPr>
          <w:rFonts w:ascii="Bookman Old Style" w:hAnsi="Bookman Old Style"/>
          <w:sz w:val="26"/>
        </w:rPr>
        <w:t xml:space="preserve">, 524 P.2d 1242, 1246 (Alaska 1974); </w:t>
      </w:r>
      <w:r>
        <w:rPr>
          <w:rFonts w:ascii="Bookman Old Style" w:hAnsi="Bookman Old Style"/>
          <w:sz w:val="26"/>
          <w:u w:val="single"/>
        </w:rPr>
        <w:t>State v. Lewi</w:t>
      </w:r>
      <w:r>
        <w:rPr>
          <w:rFonts w:ascii="Bookman Old Style" w:hAnsi="Bookman Old Style"/>
          <w:sz w:val="26"/>
          <w:u w:val="single"/>
        </w:rPr>
        <w:t>s</w:t>
      </w:r>
      <w:r>
        <w:rPr>
          <w:rFonts w:ascii="Bookman Old Style" w:hAnsi="Bookman Old Style"/>
          <w:sz w:val="26"/>
        </w:rPr>
        <w:t xml:space="preserve">, 785 P.2d 24, 28 (Alaska 1989); and </w:t>
      </w:r>
      <w:r>
        <w:rPr>
          <w:rFonts w:ascii="Bookman Old Style" w:hAnsi="Bookman Old Style"/>
          <w:sz w:val="26"/>
          <w:u w:val="single"/>
        </w:rPr>
        <w:t>Bakke v. State</w:t>
      </w:r>
      <w:r>
        <w:rPr>
          <w:rFonts w:ascii="Bookman Old Style" w:hAnsi="Bookman Old Style"/>
          <w:sz w:val="26"/>
        </w:rPr>
        <w:t xml:space="preserve">, 744 P.2d 655 (Alaska 1987).  For "regulatory taking" cases, </w:t>
      </w:r>
      <w:r>
        <w:rPr>
          <w:rFonts w:ascii="Bookman Old Style" w:hAnsi="Bookman Old Style"/>
          <w:sz w:val="26"/>
          <w:u w:val="single"/>
        </w:rPr>
        <w:t>see</w:t>
      </w:r>
      <w:r>
        <w:rPr>
          <w:rFonts w:ascii="Bookman Old Style" w:hAnsi="Bookman Old Style"/>
          <w:sz w:val="26"/>
        </w:rPr>
        <w:t xml:space="preserve"> </w:t>
      </w:r>
      <w:r>
        <w:rPr>
          <w:rFonts w:ascii="Bookman Old Style" w:hAnsi="Bookman Old Style"/>
          <w:sz w:val="26"/>
          <w:u w:val="single"/>
        </w:rPr>
        <w:t>Homeward Bound v. Anchorage School District</w:t>
      </w:r>
      <w:r>
        <w:rPr>
          <w:rFonts w:ascii="Bookman Old Style" w:hAnsi="Bookman Old Style"/>
          <w:sz w:val="26"/>
        </w:rPr>
        <w:t xml:space="preserve">, 791 P.2d 610 (Alaska 1990); and </w:t>
      </w:r>
      <w:r>
        <w:rPr>
          <w:rFonts w:ascii="Bookman Old Style" w:hAnsi="Bookman Old Style"/>
          <w:sz w:val="26"/>
          <w:u w:val="single"/>
        </w:rPr>
        <w:t>Ehrlander v. State</w:t>
      </w:r>
      <w:r>
        <w:rPr>
          <w:rFonts w:ascii="Bookman Old Style" w:hAnsi="Bookman Old Style"/>
          <w:sz w:val="26"/>
        </w:rPr>
        <w:t>, 797 P.2d 629 (Alaska 1990).</w:t>
      </w:r>
    </w:p>
    <w:p w:rsidR="00000000" w:rsidRDefault="00341DC5">
      <w:pPr>
        <w:pStyle w:val="PlainText"/>
        <w:jc w:val="both"/>
        <w:rPr>
          <w:rFonts w:ascii="Bookman Old Style" w:hAnsi="Bookman Old Style"/>
          <w:sz w:val="26"/>
        </w:rPr>
      </w:pPr>
    </w:p>
    <w:sectPr w:rsidR="00000000">
      <w:footerReference w:type="default" r:id="rId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41DC5">
      <w:r>
        <w:separator/>
      </w:r>
    </w:p>
  </w:endnote>
  <w:endnote w:type="continuationSeparator" w:id="0">
    <w:p w:rsidR="00000000" w:rsidRDefault="00341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1DC5">
    <w:pPr>
      <w:pStyle w:val="Footer"/>
      <w:tabs>
        <w:tab w:val="clear" w:pos="8640"/>
        <w:tab w:val="right" w:pos="9090"/>
      </w:tabs>
      <w:rPr>
        <w:rFonts w:ascii="Bookman Old Style" w:hAnsi="Bookman Old Style"/>
      </w:rPr>
    </w:pPr>
    <w:r>
      <w:rPr>
        <w:rFonts w:ascii="Bookman Old Style" w:hAnsi="Bookman Old Style"/>
      </w:rPr>
      <w:tab/>
    </w:r>
    <w:r>
      <w:rPr>
        <w:rFonts w:ascii="Bookman Old Style" w:hAnsi="Bookman Old Style"/>
      </w:rPr>
      <w:tab/>
      <w:t xml:space="preserve">27.00 – </w:t>
    </w:r>
    <w:r>
      <w:rPr>
        <w:rStyle w:val="PageNumber"/>
        <w:rFonts w:ascii="Bookman Old Style" w:hAnsi="Bookman Old Style"/>
      </w:rPr>
      <w:fldChar w:fldCharType="begin"/>
    </w:r>
    <w:r>
      <w:rPr>
        <w:rStyle w:val="PageNumber"/>
        <w:rFonts w:ascii="Bookman Old Style" w:hAnsi="Bookman Old Style"/>
      </w:rPr>
      <w:instrText xml:space="preserve"> </w:instrText>
    </w:r>
    <w:r>
      <w:rPr>
        <w:rStyle w:val="PageNumber"/>
        <w:rFonts w:ascii="Bookman Old Style" w:hAnsi="Bookman Old Style"/>
      </w:rPr>
      <w:instrText xml:space="preserve">PAGE </w:instrText>
    </w:r>
    <w:r>
      <w:rPr>
        <w:rStyle w:val="PageNumber"/>
        <w:rFonts w:ascii="Bookman Old Style" w:hAnsi="Bookman Old Style"/>
      </w:rPr>
      <w:fldChar w:fldCharType="separate"/>
    </w:r>
    <w:r w:rsidR="008A708E">
      <w:rPr>
        <w:rStyle w:val="PageNumber"/>
        <w:rFonts w:ascii="Bookman Old Style" w:hAnsi="Bookman Old Style"/>
        <w:noProof/>
      </w:rPr>
      <w:t>1</w:t>
    </w:r>
    <w:r>
      <w:rPr>
        <w:rStyle w:val="PageNumber"/>
        <w:rFonts w:ascii="Bookman Old Style" w:hAnsi="Bookman Old Styl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41DC5">
      <w:r>
        <w:separator/>
      </w:r>
    </w:p>
  </w:footnote>
  <w:footnote w:type="continuationSeparator" w:id="0">
    <w:p w:rsidR="00000000" w:rsidRDefault="00341D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08E"/>
    <w:rsid w:val="00341DC5"/>
    <w:rsid w:val="008A7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27</vt:lpstr>
    </vt:vector>
  </TitlesOfParts>
  <Company>Alaska Court System</Company>
  <LinksUpToDate>false</LinksUpToDate>
  <CharactersWithSpaces>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dc:title>
  <dc:subject/>
  <dc:creator>korzechowski</dc:creator>
  <cp:keywords/>
  <cp:lastModifiedBy>Michael Merrington</cp:lastModifiedBy>
  <cp:revision>3</cp:revision>
  <cp:lastPrinted>2000-09-13T22:47:00Z</cp:lastPrinted>
  <dcterms:created xsi:type="dcterms:W3CDTF">2017-04-04T18:53:00Z</dcterms:created>
  <dcterms:modified xsi:type="dcterms:W3CDTF">2017-04-04T18:53:00Z</dcterms:modified>
</cp:coreProperties>
</file>