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27.07A</w:t>
      </w:r>
      <w:r>
        <w:rPr>
          <w:rFonts w:ascii="Bookman Old Style" w:hAnsi="Bookman Old Style"/>
          <w:b/>
          <w:sz w:val="26"/>
        </w:rPr>
        <w:tab/>
        <w:t>EASEMENT – DEFINITION</w:t>
      </w:r>
    </w:p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government has taken an easement in [a portion of the] land owned by the defendant.  The term "easement" means a right to use the land of another for specific purposes.  After an easement has been taken, the property owne</w:t>
      </w:r>
      <w:r>
        <w:rPr>
          <w:rFonts w:ascii="Bookman Old Style" w:hAnsi="Bookman Old Style"/>
          <w:sz w:val="26"/>
        </w:rPr>
        <w:t>r has the right to use the land covered by the easement for any purpose not inconsistent with the easement.</w:t>
      </w:r>
    </w:p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order to compute just compensation in this case, you must determine the fair market value of the easement as of the date of taking.  [You must a</w:t>
      </w:r>
      <w:r>
        <w:rPr>
          <w:rFonts w:ascii="Bookman Old Style" w:hAnsi="Bookman Old Style"/>
          <w:sz w:val="26"/>
        </w:rPr>
        <w:t>lso determine whether the owner is entitled to severance damages [and whether these damages should be offset by special benefits].]</w:t>
      </w:r>
    </w:p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follow Article 27.01 (Legal Right to Take – Just Compensation) when an easement is taken</w:t>
      </w:r>
      <w:r>
        <w:rPr>
          <w:rFonts w:ascii="Bookman Old Style" w:hAnsi="Bookman Old Style"/>
          <w:sz w:val="26"/>
        </w:rPr>
        <w:t xml:space="preserve"> rather than a fee interest.  It should be followed by Article 27.02 (Fair Market Value) and Article 27.07B (Easement – Nominal Damages).  It should also be followed by Article 27.06 (Severance Damages) if the owner is claiming severance damages and by Art</w:t>
      </w:r>
      <w:r>
        <w:rPr>
          <w:rFonts w:ascii="Bookman Old Style" w:hAnsi="Bookman Old Style"/>
          <w:sz w:val="26"/>
        </w:rPr>
        <w:t>icle 27.06B (Special Benefits) if the government claims that severance damages are offset by special benefits.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there is a dispute over the scope of the easement or the uses remaining to the property owner after the taking, the court should give an addi</w:t>
      </w:r>
      <w:r>
        <w:rPr>
          <w:rFonts w:ascii="Bookman Old Style" w:hAnsi="Bookman Old Style"/>
          <w:sz w:val="26"/>
        </w:rPr>
        <w:t xml:space="preserve">tional instruction interpreting the intent of the easement.    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Special Verdict Form 27.11 should be used with this instruction.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lastRenderedPageBreak/>
        <w:t>Comment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AS 09.55.250(2) states that easements may be taken for public use.  The taking of an easement constitutes an appr</w:t>
      </w:r>
      <w:r>
        <w:rPr>
          <w:rFonts w:ascii="Bookman Old Style" w:hAnsi="Bookman Old Style"/>
          <w:sz w:val="26"/>
        </w:rPr>
        <w:t xml:space="preserve">opriation of the owner's property that must be compensated.  </w:t>
      </w:r>
      <w:r>
        <w:rPr>
          <w:rFonts w:ascii="Bookman Old Style" w:hAnsi="Bookman Old Style"/>
          <w:sz w:val="26"/>
          <w:u w:val="single"/>
        </w:rPr>
        <w:t>Scavenius v. City of Anchorage</w:t>
      </w:r>
      <w:r>
        <w:rPr>
          <w:rFonts w:ascii="Bookman Old Style" w:hAnsi="Bookman Old Style"/>
          <w:sz w:val="26"/>
        </w:rPr>
        <w:t xml:space="preserve">, 539 P.2d 1181, 1186 (Alaska 1975).  </w:t>
      </w:r>
      <w:r>
        <w:rPr>
          <w:rFonts w:ascii="Bookman Old Style" w:hAnsi="Bookman Old Style"/>
          <w:sz w:val="26"/>
          <w:u w:val="single"/>
        </w:rPr>
        <w:t>Accord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Wickwire v. City &amp; Borough of Juneau</w:t>
      </w:r>
      <w:r>
        <w:rPr>
          <w:rFonts w:ascii="Bookman Old Style" w:hAnsi="Bookman Old Style"/>
          <w:sz w:val="26"/>
        </w:rPr>
        <w:t>, 557 P.2d 783 (Alaska 1976).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owner is entitled to the loss in fair market valu</w:t>
      </w:r>
      <w:r>
        <w:rPr>
          <w:rFonts w:ascii="Bookman Old Style" w:hAnsi="Bookman Old Style"/>
          <w:sz w:val="26"/>
        </w:rPr>
        <w:t xml:space="preserve">e of the property caused by the taking of an easement.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City of Anchorage v. Nesbitt</w:t>
      </w:r>
      <w:r>
        <w:rPr>
          <w:rFonts w:ascii="Bookman Old Style" w:hAnsi="Bookman Old Style"/>
          <w:sz w:val="26"/>
        </w:rPr>
        <w:t>, 530 P.2d 1324, 1332-34 (Alaska 1975).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Easements can be taken by inverse condemnation.  </w:t>
      </w:r>
      <w:r>
        <w:rPr>
          <w:rFonts w:ascii="Bookman Old Style" w:hAnsi="Bookman Old Style"/>
          <w:sz w:val="26"/>
          <w:u w:val="single"/>
        </w:rPr>
        <w:t>Wickwire v. City of Juneau</w:t>
      </w:r>
      <w:r>
        <w:rPr>
          <w:rFonts w:ascii="Bookman Old Style" w:hAnsi="Bookman Old Style"/>
          <w:sz w:val="26"/>
        </w:rPr>
        <w:t>, 557 P.2d at 764.</w:t>
      </w: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6D0671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0671">
      <w:r>
        <w:separator/>
      </w:r>
    </w:p>
  </w:endnote>
  <w:endnote w:type="continuationSeparator" w:id="0">
    <w:p w:rsidR="00000000" w:rsidRDefault="006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0671">
    <w:pPr>
      <w:pStyle w:val="Footer"/>
      <w:tabs>
        <w:tab w:val="clear" w:pos="8640"/>
        <w:tab w:val="right" w:pos="9180"/>
      </w:tabs>
      <w:rPr>
        <w:rFonts w:ascii="Bookman Old Style" w:hAnsi="Bookman Old Style"/>
      </w:rPr>
    </w:pPr>
    <w:r>
      <w:rPr>
        <w:rFonts w:ascii="Bookman Old Style" w:hAnsi="Bookman Old Style"/>
      </w:rPr>
      <w:t>Revised 1995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27.07A – </w:t>
    </w:r>
    <w:r>
      <w:rPr>
        <w:rStyle w:val="PageNumber"/>
        <w:rFonts w:ascii="Bookman Old Style" w:hAnsi="Bookman Old Style"/>
      </w:rPr>
      <w:fldChar w:fldCharType="begin"/>
    </w:r>
    <w:r>
      <w:rPr>
        <w:rStyle w:val="PageNumber"/>
        <w:rFonts w:ascii="Bookman Old Style" w:hAnsi="Bookman Old Style"/>
      </w:rPr>
      <w:instrText xml:space="preserve"> PAGE </w:instrText>
    </w:r>
    <w:r>
      <w:rPr>
        <w:rStyle w:val="PageNumber"/>
        <w:rFonts w:ascii="Bookman Old Style" w:hAnsi="Bookman Old Style"/>
      </w:rPr>
      <w:fldChar w:fldCharType="separate"/>
    </w:r>
    <w:r w:rsidR="005E6810">
      <w:rPr>
        <w:rStyle w:val="PageNumber"/>
        <w:rFonts w:ascii="Bookman Old Style" w:hAnsi="Bookman Old Style"/>
        <w:noProof/>
      </w:rPr>
      <w:t>1</w:t>
    </w:r>
    <w:r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0671">
      <w:r>
        <w:separator/>
      </w:r>
    </w:p>
  </w:footnote>
  <w:footnote w:type="continuationSeparator" w:id="0">
    <w:p w:rsidR="00000000" w:rsidRDefault="006D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10"/>
    <w:rsid w:val="005E6810"/>
    <w:rsid w:val="006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>Alaska Court System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korzechowski</dc:creator>
  <cp:keywords/>
  <cp:lastModifiedBy>Michael Merrington</cp:lastModifiedBy>
  <cp:revision>3</cp:revision>
  <cp:lastPrinted>2000-09-14T21:48:00Z</cp:lastPrinted>
  <dcterms:created xsi:type="dcterms:W3CDTF">2017-04-04T18:53:00Z</dcterms:created>
  <dcterms:modified xsi:type="dcterms:W3CDTF">2017-04-04T18:53:00Z</dcterms:modified>
</cp:coreProperties>
</file>