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95DEC">
      <w:pPr>
        <w:pStyle w:val="PlainText"/>
        <w:spacing w:line="360" w:lineRule="auto"/>
        <w:jc w:val="both"/>
        <w:rPr>
          <w:rFonts w:ascii="Bookman Old Style" w:hAnsi="Bookman Old Style"/>
          <w:b/>
          <w:sz w:val="26"/>
        </w:rPr>
      </w:pPr>
      <w:bookmarkStart w:id="0" w:name="_GoBack"/>
      <w:bookmarkEnd w:id="0"/>
      <w:r>
        <w:rPr>
          <w:rFonts w:ascii="Bookman Old Style" w:hAnsi="Bookman Old Style"/>
          <w:b/>
          <w:sz w:val="26"/>
        </w:rPr>
        <w:t>27.07B</w:t>
      </w:r>
      <w:r>
        <w:rPr>
          <w:rFonts w:ascii="Bookman Old Style" w:hAnsi="Bookman Old Style"/>
          <w:b/>
          <w:sz w:val="26"/>
        </w:rPr>
        <w:tab/>
        <w:t>EASEMENT – NOMINAL DAMAGES</w:t>
      </w:r>
    </w:p>
    <w:p w:rsidR="00000000" w:rsidRDefault="00895DEC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895DEC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895DEC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If you determine that the fair market value of the easement is zero, the government must pay the owner $1.00.</w:t>
      </w:r>
    </w:p>
    <w:p w:rsidR="00000000" w:rsidRDefault="00895DEC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895DEC">
      <w:pPr>
        <w:pStyle w:val="PlainText"/>
        <w:spacing w:line="360" w:lineRule="auto"/>
        <w:jc w:val="both"/>
        <w:rPr>
          <w:rFonts w:ascii="Bookman Old Style" w:hAnsi="Bookman Old Style"/>
          <w:sz w:val="26"/>
        </w:rPr>
      </w:pPr>
    </w:p>
    <w:p w:rsidR="00000000" w:rsidRDefault="00895DEC">
      <w:pPr>
        <w:pStyle w:val="PlainText"/>
        <w:jc w:val="center"/>
        <w:rPr>
          <w:rFonts w:ascii="Bookman Old Style" w:hAnsi="Bookman Old Style"/>
          <w:sz w:val="26"/>
          <w:u w:val="single"/>
        </w:rPr>
      </w:pPr>
      <w:r>
        <w:rPr>
          <w:rFonts w:ascii="Bookman Old Style" w:hAnsi="Bookman Old Style"/>
          <w:sz w:val="26"/>
          <w:u w:val="single"/>
        </w:rPr>
        <w:t>Use Note</w:t>
      </w:r>
    </w:p>
    <w:p w:rsidR="00000000" w:rsidRDefault="00895DEC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895DEC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This instruction should follow Article 27.02 (Fair Market Value).</w:t>
      </w:r>
    </w:p>
    <w:p w:rsidR="00000000" w:rsidRDefault="00895DEC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895DEC">
      <w:pPr>
        <w:pStyle w:val="PlainText"/>
        <w:jc w:val="center"/>
        <w:rPr>
          <w:rFonts w:ascii="Bookman Old Style" w:hAnsi="Bookman Old Style"/>
          <w:sz w:val="26"/>
          <w:u w:val="single"/>
        </w:rPr>
      </w:pPr>
      <w:r>
        <w:rPr>
          <w:rFonts w:ascii="Bookman Old Style" w:hAnsi="Bookman Old Style"/>
          <w:sz w:val="26"/>
          <w:u w:val="single"/>
        </w:rPr>
        <w:t>Comment</w:t>
      </w:r>
    </w:p>
    <w:p w:rsidR="00000000" w:rsidRDefault="00895DEC">
      <w:pPr>
        <w:pStyle w:val="PlainText"/>
        <w:jc w:val="both"/>
        <w:rPr>
          <w:rFonts w:ascii="Bookman Old Style" w:hAnsi="Bookman Old Style"/>
          <w:sz w:val="26"/>
        </w:rPr>
      </w:pPr>
    </w:p>
    <w:p w:rsidR="00000000" w:rsidRDefault="00895DEC">
      <w:pPr>
        <w:pStyle w:val="PlainText"/>
        <w:jc w:val="both"/>
        <w:rPr>
          <w:rFonts w:ascii="Bookman Old Style" w:hAnsi="Bookman Old Style"/>
          <w:sz w:val="26"/>
        </w:rPr>
      </w:pPr>
      <w:r>
        <w:rPr>
          <w:rFonts w:ascii="Bookman Old Style" w:hAnsi="Bookman Old Style"/>
          <w:sz w:val="26"/>
        </w:rPr>
        <w:t>For a discussion of no</w:t>
      </w:r>
      <w:r>
        <w:rPr>
          <w:rFonts w:ascii="Bookman Old Style" w:hAnsi="Bookman Old Style"/>
          <w:sz w:val="26"/>
        </w:rPr>
        <w:t xml:space="preserve">minal damages, </w:t>
      </w:r>
      <w:r>
        <w:rPr>
          <w:rFonts w:ascii="Bookman Old Style" w:hAnsi="Bookman Old Style"/>
          <w:sz w:val="26"/>
          <w:u w:val="single"/>
        </w:rPr>
        <w:t>see</w:t>
      </w:r>
      <w:r>
        <w:rPr>
          <w:rFonts w:ascii="Bookman Old Style" w:hAnsi="Bookman Old Style"/>
          <w:sz w:val="26"/>
        </w:rPr>
        <w:t xml:space="preserve"> </w:t>
      </w:r>
      <w:proofErr w:type="spellStart"/>
      <w:r>
        <w:rPr>
          <w:rFonts w:ascii="Bookman Old Style" w:hAnsi="Bookman Old Style"/>
          <w:sz w:val="26"/>
          <w:u w:val="single"/>
        </w:rPr>
        <w:t>Scavenius</w:t>
      </w:r>
      <w:proofErr w:type="spellEnd"/>
      <w:r>
        <w:rPr>
          <w:rFonts w:ascii="Bookman Old Style" w:hAnsi="Bookman Old Style"/>
          <w:sz w:val="26"/>
          <w:u w:val="single"/>
        </w:rPr>
        <w:t xml:space="preserve"> v. City of Anchorage</w:t>
      </w:r>
      <w:r>
        <w:rPr>
          <w:rFonts w:ascii="Bookman Old Style" w:hAnsi="Bookman Old Style"/>
          <w:sz w:val="26"/>
        </w:rPr>
        <w:t>, 539 P.2d 1181, 1185 (Alaska 1975), in which the court held that the failure to award nominal damages was not unconstitutional where the owner failed to object to a jury instruction that allowed the jury to</w:t>
      </w:r>
      <w:r>
        <w:rPr>
          <w:rFonts w:ascii="Bookman Old Style" w:hAnsi="Bookman Old Style"/>
          <w:sz w:val="26"/>
        </w:rPr>
        <w:t xml:space="preserve"> award no compensation.</w:t>
      </w:r>
    </w:p>
    <w:p w:rsidR="00000000" w:rsidRDefault="00895DEC">
      <w:pPr>
        <w:pStyle w:val="PlainText"/>
        <w:jc w:val="both"/>
        <w:rPr>
          <w:rFonts w:ascii="Bookman Old Style" w:hAnsi="Bookman Old Style"/>
          <w:sz w:val="26"/>
        </w:rPr>
      </w:pPr>
    </w:p>
    <w:sectPr w:rsidR="00000000">
      <w:footerReference w:type="default" r:id="rId7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95DEC">
      <w:r>
        <w:separator/>
      </w:r>
    </w:p>
  </w:endnote>
  <w:endnote w:type="continuationSeparator" w:id="0">
    <w:p w:rsidR="00000000" w:rsidRDefault="0089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95DEC">
    <w:pPr>
      <w:pStyle w:val="Footer"/>
      <w:rPr>
        <w:rFonts w:ascii="Bookman Old Style" w:hAnsi="Bookman Old Style"/>
      </w:rPr>
    </w:pPr>
    <w:r>
      <w:rPr>
        <w:rFonts w:ascii="Bookman Old Style" w:hAnsi="Bookman Old Style"/>
      </w:rPr>
      <w:t>Revised 1995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95DEC">
      <w:r>
        <w:separator/>
      </w:r>
    </w:p>
  </w:footnote>
  <w:footnote w:type="continuationSeparator" w:id="0">
    <w:p w:rsidR="00000000" w:rsidRDefault="00895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F7"/>
    <w:rsid w:val="005B54F7"/>
    <w:rsid w:val="0089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Pr>
      <w:rFonts w:ascii="Courier New" w:hAnsi="Courier New"/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</vt:lpstr>
    </vt:vector>
  </TitlesOfParts>
  <Company>Alaska Court System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subject/>
  <dc:creator>korzechowski</dc:creator>
  <cp:keywords/>
  <cp:lastModifiedBy>Michael Merrington</cp:lastModifiedBy>
  <cp:revision>3</cp:revision>
  <cp:lastPrinted>2000-09-14T21:49:00Z</cp:lastPrinted>
  <dcterms:created xsi:type="dcterms:W3CDTF">2017-04-04T18:53:00Z</dcterms:created>
  <dcterms:modified xsi:type="dcterms:W3CDTF">2017-04-04T18:53:00Z</dcterms:modified>
</cp:coreProperties>
</file>