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EEE" w:rsidRPr="002D5934" w:rsidRDefault="00063D66" w:rsidP="002D5934">
      <w:pPr>
        <w:pStyle w:val="PlainText"/>
        <w:jc w:val="both"/>
        <w:rPr>
          <w:rFonts w:ascii="Times New Roman" w:hAnsi="Times New Roman"/>
          <w:b/>
          <w:sz w:val="28"/>
          <w:szCs w:val="28"/>
        </w:rPr>
      </w:pPr>
      <w:r w:rsidRPr="002D5934">
        <w:rPr>
          <w:rFonts w:ascii="Times New Roman" w:hAnsi="Times New Roman"/>
          <w:b/>
          <w:sz w:val="28"/>
          <w:szCs w:val="28"/>
        </w:rPr>
        <w:t>27.09</w:t>
      </w:r>
      <w:r w:rsidRPr="002D5934">
        <w:rPr>
          <w:rFonts w:ascii="Times New Roman" w:hAnsi="Times New Roman"/>
          <w:b/>
          <w:sz w:val="28"/>
          <w:szCs w:val="28"/>
        </w:rPr>
        <w:tab/>
        <w:t>TEMPORARY LOST PROFITS</w:t>
      </w:r>
    </w:p>
    <w:p w:rsidR="005F2EEE" w:rsidRPr="002D5934" w:rsidRDefault="005F2EEE" w:rsidP="002D5934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5F2EEE" w:rsidP="002D5934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>The owner claims that [his] [her] [its] business lost profits as a result of the taking.  You must decide whether it is more likely true than not true that:</w:t>
      </w:r>
    </w:p>
    <w:p w:rsidR="005F2EEE" w:rsidRPr="002D5934" w:rsidRDefault="005F2EEE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>(1)</w:t>
      </w:r>
      <w:r w:rsidRPr="002D5934">
        <w:rPr>
          <w:rFonts w:ascii="Times New Roman" w:hAnsi="Times New Roman"/>
          <w:sz w:val="28"/>
          <w:szCs w:val="28"/>
        </w:rPr>
        <w:tab/>
      </w:r>
      <w:proofErr w:type="gramStart"/>
      <w:r w:rsidRPr="002D5934">
        <w:rPr>
          <w:rFonts w:ascii="Times New Roman" w:hAnsi="Times New Roman"/>
          <w:sz w:val="28"/>
          <w:szCs w:val="28"/>
        </w:rPr>
        <w:t>the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taking caused a temporary interruption of the owner's business; and</w:t>
      </w:r>
    </w:p>
    <w:p w:rsidR="005F2EEE" w:rsidRPr="002D5934" w:rsidRDefault="005F2EEE" w:rsidP="002D5934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>(2)</w:t>
      </w:r>
      <w:r w:rsidRPr="002D5934">
        <w:rPr>
          <w:rFonts w:ascii="Times New Roman" w:hAnsi="Times New Roman"/>
          <w:sz w:val="28"/>
          <w:szCs w:val="28"/>
        </w:rPr>
        <w:tab/>
      </w:r>
      <w:proofErr w:type="gramStart"/>
      <w:r w:rsidRPr="002D5934">
        <w:rPr>
          <w:rFonts w:ascii="Times New Roman" w:hAnsi="Times New Roman"/>
          <w:sz w:val="28"/>
          <w:szCs w:val="28"/>
        </w:rPr>
        <w:t>this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temporary interruption caused a loss of profits; and</w:t>
      </w:r>
    </w:p>
    <w:p w:rsidR="005F2EEE" w:rsidRPr="002D5934" w:rsidRDefault="005F2EEE" w:rsidP="002D5934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>(3)</w:t>
      </w:r>
      <w:r w:rsidRPr="002D5934">
        <w:rPr>
          <w:rFonts w:ascii="Times New Roman" w:hAnsi="Times New Roman"/>
          <w:sz w:val="28"/>
          <w:szCs w:val="28"/>
        </w:rPr>
        <w:tab/>
      </w:r>
      <w:proofErr w:type="gramStart"/>
      <w:r w:rsidRPr="002D5934">
        <w:rPr>
          <w:rFonts w:ascii="Times New Roman" w:hAnsi="Times New Roman"/>
          <w:sz w:val="28"/>
          <w:szCs w:val="28"/>
        </w:rPr>
        <w:t>the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amount of lost profits can be determined with reasonable certainty.</w:t>
      </w:r>
    </w:p>
    <w:p w:rsidR="005F2EEE" w:rsidRPr="002D5934" w:rsidRDefault="005F2EEE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 xml:space="preserve">If you decide that all of these things are more likely true than not true, </w:t>
      </w:r>
      <w:proofErr w:type="gramStart"/>
      <w:r w:rsidRPr="002D5934">
        <w:rPr>
          <w:rFonts w:ascii="Times New Roman" w:hAnsi="Times New Roman"/>
          <w:sz w:val="28"/>
          <w:szCs w:val="28"/>
        </w:rPr>
        <w:t>then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the government must pay the owner the amount of [his] [her] [its] lost profits and you should enter the amount on the Special Verdict Form in the space provided.</w:t>
      </w:r>
    </w:p>
    <w:p w:rsidR="005F2EEE" w:rsidRPr="002D5934" w:rsidRDefault="005F2EEE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 w:rsidP="002D5934">
      <w:pPr>
        <w:pStyle w:val="PlainText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>Otherwise, you should enter a "zero" on the Special Verdict Form in the space provided.</w:t>
      </w:r>
    </w:p>
    <w:p w:rsidR="005F2EEE" w:rsidRDefault="005F2EEE">
      <w:pPr>
        <w:pStyle w:val="PlainText"/>
        <w:spacing w:line="360" w:lineRule="auto"/>
        <w:jc w:val="both"/>
        <w:rPr>
          <w:rFonts w:ascii="Bookman Old Style" w:hAnsi="Bookman Old Style"/>
          <w:sz w:val="26"/>
        </w:rPr>
      </w:pPr>
    </w:p>
    <w:p w:rsidR="005F2EEE" w:rsidRPr="002D5934" w:rsidRDefault="00063D66">
      <w:pPr>
        <w:pStyle w:val="Plain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5934">
        <w:rPr>
          <w:rFonts w:ascii="Times New Roman" w:hAnsi="Times New Roman"/>
          <w:b/>
          <w:sz w:val="28"/>
          <w:szCs w:val="28"/>
          <w:u w:val="single"/>
        </w:rPr>
        <w:t>Use Note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 xml:space="preserve">When the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condemnee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is a lessee, the term "owner" should be replaced by the term "tenant."  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>
      <w:pPr>
        <w:pStyle w:val="PlainTex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D5934">
        <w:rPr>
          <w:rFonts w:ascii="Times New Roman" w:hAnsi="Times New Roman"/>
          <w:b/>
          <w:sz w:val="28"/>
          <w:szCs w:val="28"/>
          <w:u w:val="single"/>
        </w:rPr>
        <w:t>Comment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 xml:space="preserve">A business may be interrupted when the government takes the property on which the business was operated.  "[T]he temporary loss of profits due to business interruption directly resulting from a state's taking of the land on which the business is operated is a damage to property compensable under our constitution."  </w:t>
      </w:r>
      <w:proofErr w:type="gramStart"/>
      <w:r w:rsidRPr="002D5934">
        <w:rPr>
          <w:rFonts w:ascii="Times New Roman" w:hAnsi="Times New Roman"/>
          <w:sz w:val="28"/>
          <w:szCs w:val="28"/>
          <w:u w:val="single"/>
        </w:rPr>
        <w:t>State v. Hammer</w:t>
      </w:r>
      <w:r w:rsidRPr="002D5934">
        <w:rPr>
          <w:rFonts w:ascii="Times New Roman" w:hAnsi="Times New Roman"/>
          <w:sz w:val="28"/>
          <w:szCs w:val="28"/>
        </w:rPr>
        <w:t>, 550 P.2d 820, 823 (Alaska 1976).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 Nothing in the court's decision suggests that a distinction should be drawn between owners and lessees.</w:t>
      </w:r>
    </w:p>
    <w:p w:rsidR="005F2EEE" w:rsidRPr="002D5934" w:rsidRDefault="00063D66">
      <w:pPr>
        <w:pStyle w:val="PlainTex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D5934">
        <w:rPr>
          <w:rFonts w:ascii="Times New Roman" w:hAnsi="Times New Roman"/>
          <w:sz w:val="28"/>
          <w:szCs w:val="28"/>
        </w:rPr>
        <w:lastRenderedPageBreak/>
        <w:t xml:space="preserve">In </w:t>
      </w:r>
      <w:r w:rsidRPr="002D5934">
        <w:rPr>
          <w:rFonts w:ascii="Times New Roman" w:hAnsi="Times New Roman"/>
          <w:sz w:val="28"/>
          <w:szCs w:val="28"/>
          <w:u w:val="single"/>
        </w:rPr>
        <w:t>State v. Hammer</w:t>
      </w:r>
      <w:r w:rsidRPr="002D5934">
        <w:rPr>
          <w:rFonts w:ascii="Times New Roman" w:hAnsi="Times New Roman"/>
          <w:sz w:val="28"/>
          <w:szCs w:val="28"/>
        </w:rPr>
        <w:t xml:space="preserve">, the court seemed to imply a duty on the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condemnee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to mitigate the losses:  "[B]y giving precise and early notice of the date when the property must be vacated [the state] can keep the loss of profits due to necessary business interruption to a minimum."  </w:t>
      </w:r>
      <w:proofErr w:type="gramStart"/>
      <w:r w:rsidRPr="002D5934">
        <w:rPr>
          <w:rFonts w:ascii="Times New Roman" w:hAnsi="Times New Roman"/>
          <w:sz w:val="28"/>
          <w:szCs w:val="28"/>
        </w:rPr>
        <w:t>550 P.2d at 827.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 However, it is not clear whether the court intended to place the burden of proof on mitigation on the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condemnee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or simply to comment on strategies the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condemnor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could employ to minimize business claims.  Typically, mitigation is an issue on which the party opposing the claim carries the burden of proof.  </w:t>
      </w:r>
      <w:r w:rsidRPr="002D5934">
        <w:rPr>
          <w:rFonts w:ascii="Times New Roman" w:hAnsi="Times New Roman"/>
          <w:sz w:val="28"/>
          <w:szCs w:val="28"/>
          <w:u w:val="single"/>
        </w:rPr>
        <w:t>See</w:t>
      </w:r>
      <w:r w:rsidRPr="002D5934">
        <w:rPr>
          <w:rFonts w:ascii="Times New Roman" w:hAnsi="Times New Roman"/>
          <w:sz w:val="28"/>
          <w:szCs w:val="28"/>
        </w:rPr>
        <w:t xml:space="preserve"> Comment, Instruction 20.18A (Avoidable Consequences).  A review of the Minnesota, Georgia, and California cases cited in </w:t>
      </w:r>
      <w:r w:rsidRPr="002D5934">
        <w:rPr>
          <w:rFonts w:ascii="Times New Roman" w:hAnsi="Times New Roman"/>
          <w:sz w:val="28"/>
          <w:szCs w:val="28"/>
          <w:u w:val="single"/>
        </w:rPr>
        <w:t>Hammer</w:t>
      </w:r>
      <w:r w:rsidRPr="002D5934">
        <w:rPr>
          <w:rFonts w:ascii="Times New Roman" w:hAnsi="Times New Roman"/>
          <w:sz w:val="28"/>
          <w:szCs w:val="28"/>
        </w:rPr>
        <w:t xml:space="preserve"> does not shed further light on this issue.  </w:t>
      </w:r>
      <w:r w:rsidRPr="002D5934">
        <w:rPr>
          <w:rFonts w:ascii="Times New Roman" w:hAnsi="Times New Roman"/>
          <w:sz w:val="28"/>
          <w:szCs w:val="28"/>
          <w:u w:val="single"/>
        </w:rPr>
        <w:t>See</w:t>
      </w:r>
      <w:r w:rsidRPr="002D5934">
        <w:rPr>
          <w:rFonts w:ascii="Times New Roman" w:hAnsi="Times New Roman"/>
          <w:sz w:val="28"/>
          <w:szCs w:val="28"/>
        </w:rPr>
        <w:t xml:space="preserve"> 550 P.2d at 826 &amp; 826 n.22.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 xml:space="preserve">To be compensable, loss of profits must be reasonably certain and must be determinable from evidence on the record and reasonable inferences therefrom.  </w:t>
      </w:r>
      <w:r w:rsidRPr="002D5934">
        <w:rPr>
          <w:rFonts w:ascii="Times New Roman" w:hAnsi="Times New Roman"/>
          <w:sz w:val="28"/>
          <w:szCs w:val="28"/>
          <w:u w:val="single"/>
        </w:rPr>
        <w:t>State v. Hammer</w:t>
      </w:r>
      <w:r w:rsidRPr="002D593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D5934">
        <w:rPr>
          <w:rFonts w:ascii="Times New Roman" w:hAnsi="Times New Roman"/>
          <w:sz w:val="28"/>
          <w:szCs w:val="28"/>
        </w:rPr>
        <w:t>550 P.2d at 824-25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.  "[T]he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condemnee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has the burden of proving by preponderance of the evidence the amount of profits lost as a direct result of the state's taking. . . ." </w:t>
      </w:r>
      <w:proofErr w:type="gramStart"/>
      <w:r w:rsidRPr="002D5934">
        <w:rPr>
          <w:rFonts w:ascii="Times New Roman" w:hAnsi="Times New Roman"/>
          <w:sz w:val="28"/>
          <w:szCs w:val="28"/>
          <w:u w:val="single"/>
        </w:rPr>
        <w:t>Id</w:t>
      </w:r>
      <w:r w:rsidRPr="002D5934">
        <w:rPr>
          <w:rFonts w:ascii="Times New Roman" w:hAnsi="Times New Roman"/>
          <w:sz w:val="28"/>
          <w:szCs w:val="28"/>
        </w:rPr>
        <w:t>. at 827.</w:t>
      </w:r>
      <w:proofErr w:type="gramEnd"/>
      <w:r w:rsidRPr="002D5934">
        <w:rPr>
          <w:rFonts w:ascii="Times New Roman" w:hAnsi="Times New Roman"/>
          <w:sz w:val="28"/>
          <w:szCs w:val="28"/>
        </w:rPr>
        <w:t xml:space="preserve">  Analogous reasoning would require the </w:t>
      </w:r>
      <w:proofErr w:type="spellStart"/>
      <w:r w:rsidRPr="002D5934">
        <w:rPr>
          <w:rFonts w:ascii="Times New Roman" w:hAnsi="Times New Roman"/>
          <w:sz w:val="28"/>
          <w:szCs w:val="28"/>
        </w:rPr>
        <w:t>condemnee</w:t>
      </w:r>
      <w:proofErr w:type="spellEnd"/>
      <w:r w:rsidRPr="002D5934">
        <w:rPr>
          <w:rFonts w:ascii="Times New Roman" w:hAnsi="Times New Roman"/>
          <w:sz w:val="28"/>
          <w:szCs w:val="28"/>
        </w:rPr>
        <w:t xml:space="preserve"> to prove by a preponderance of the evidence that the interruption was directly caused by the taking.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p w:rsidR="005F2EEE" w:rsidRPr="002D5934" w:rsidRDefault="00063D66">
      <w:pPr>
        <w:pStyle w:val="PlainText"/>
        <w:jc w:val="both"/>
        <w:rPr>
          <w:rFonts w:ascii="Times New Roman" w:hAnsi="Times New Roman"/>
          <w:sz w:val="28"/>
          <w:szCs w:val="28"/>
        </w:rPr>
      </w:pPr>
      <w:r w:rsidRPr="002D5934">
        <w:rPr>
          <w:rFonts w:ascii="Times New Roman" w:hAnsi="Times New Roman"/>
          <w:sz w:val="28"/>
          <w:szCs w:val="28"/>
        </w:rPr>
        <w:t xml:space="preserve">Incidental benefits may offset the loss of profits only if the benefits accrue to the precise property interest affected, i.e., the profits during the interruption.  </w:t>
      </w:r>
      <w:r w:rsidRPr="002D5934">
        <w:rPr>
          <w:rFonts w:ascii="Times New Roman" w:hAnsi="Times New Roman"/>
          <w:sz w:val="28"/>
          <w:szCs w:val="28"/>
          <w:u w:val="single"/>
        </w:rPr>
        <w:t>State v. Hammer</w:t>
      </w:r>
      <w:r w:rsidRPr="002D5934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2D5934">
        <w:rPr>
          <w:rFonts w:ascii="Times New Roman" w:hAnsi="Times New Roman"/>
          <w:sz w:val="28"/>
          <w:szCs w:val="28"/>
        </w:rPr>
        <w:t>550 P.2d at 828</w:t>
      </w:r>
      <w:proofErr w:type="gramEnd"/>
      <w:r w:rsidRPr="002D5934">
        <w:rPr>
          <w:rFonts w:ascii="Times New Roman" w:hAnsi="Times New Roman"/>
          <w:sz w:val="28"/>
          <w:szCs w:val="28"/>
        </w:rPr>
        <w:t>.</w:t>
      </w:r>
    </w:p>
    <w:p w:rsidR="005F2EEE" w:rsidRPr="002D5934" w:rsidRDefault="005F2EEE">
      <w:pPr>
        <w:pStyle w:val="PlainText"/>
        <w:jc w:val="both"/>
        <w:rPr>
          <w:rFonts w:ascii="Times New Roman" w:hAnsi="Times New Roman"/>
          <w:sz w:val="28"/>
          <w:szCs w:val="28"/>
        </w:rPr>
      </w:pPr>
    </w:p>
    <w:sectPr w:rsidR="005F2EEE" w:rsidRPr="002D5934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EEE" w:rsidRDefault="00063D66">
      <w:r>
        <w:separator/>
      </w:r>
    </w:p>
  </w:endnote>
  <w:endnote w:type="continuationSeparator" w:id="0">
    <w:p w:rsidR="005F2EEE" w:rsidRDefault="0006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986076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2D5934" w:rsidRDefault="002D5934" w:rsidP="002D5934">
            <w:pPr>
              <w:pStyle w:val="Footer"/>
              <w:tabs>
                <w:tab w:val="clear" w:pos="8640"/>
                <w:tab w:val="right" w:pos="9360"/>
              </w:tabs>
            </w:pPr>
            <w:r>
              <w:rPr>
                <w:sz w:val="22"/>
                <w:szCs w:val="22"/>
              </w:rPr>
              <w:t>Revised 1995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 xml:space="preserve">27.09 - </w:t>
            </w:r>
            <w:r w:rsidRPr="002D5934">
              <w:rPr>
                <w:sz w:val="22"/>
                <w:szCs w:val="22"/>
              </w:rPr>
              <w:t xml:space="preserve">Page </w:t>
            </w:r>
            <w:r w:rsidRPr="002D5934">
              <w:rPr>
                <w:bCs/>
                <w:sz w:val="22"/>
                <w:szCs w:val="22"/>
              </w:rPr>
              <w:fldChar w:fldCharType="begin"/>
            </w:r>
            <w:r w:rsidRPr="002D5934">
              <w:rPr>
                <w:bCs/>
                <w:sz w:val="22"/>
                <w:szCs w:val="22"/>
              </w:rPr>
              <w:instrText xml:space="preserve"> PAGE </w:instrText>
            </w:r>
            <w:r w:rsidRPr="002D5934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Pr="002D5934">
              <w:rPr>
                <w:bCs/>
                <w:sz w:val="22"/>
                <w:szCs w:val="22"/>
              </w:rPr>
              <w:fldChar w:fldCharType="end"/>
            </w:r>
            <w:r w:rsidRPr="002D5934">
              <w:rPr>
                <w:sz w:val="22"/>
                <w:szCs w:val="22"/>
              </w:rPr>
              <w:t xml:space="preserve"> of </w:t>
            </w:r>
            <w:r w:rsidRPr="002D5934">
              <w:rPr>
                <w:bCs/>
                <w:sz w:val="22"/>
                <w:szCs w:val="22"/>
              </w:rPr>
              <w:fldChar w:fldCharType="begin"/>
            </w:r>
            <w:r w:rsidRPr="002D5934">
              <w:rPr>
                <w:bCs/>
                <w:sz w:val="22"/>
                <w:szCs w:val="22"/>
              </w:rPr>
              <w:instrText xml:space="preserve"> NUMPAGES  </w:instrText>
            </w:r>
            <w:r w:rsidRPr="002D5934"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noProof/>
                <w:sz w:val="22"/>
                <w:szCs w:val="22"/>
              </w:rPr>
              <w:t>2</w:t>
            </w:r>
            <w:r w:rsidRPr="002D5934">
              <w:rPr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5F2EEE" w:rsidRPr="002D5934" w:rsidRDefault="005F2EEE">
    <w:pPr>
      <w:pStyle w:val="Footer"/>
      <w:tabs>
        <w:tab w:val="clear" w:pos="8640"/>
        <w:tab w:val="right" w:pos="909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EEE" w:rsidRDefault="00063D66">
      <w:r>
        <w:separator/>
      </w:r>
    </w:p>
  </w:footnote>
  <w:footnote w:type="continuationSeparator" w:id="0">
    <w:p w:rsidR="005F2EEE" w:rsidRDefault="0006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50"/>
    <w:rsid w:val="00063D66"/>
    <w:rsid w:val="002D5934"/>
    <w:rsid w:val="005F2EEE"/>
    <w:rsid w:val="0089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basedOn w:val="DefaultParagraphFont"/>
    <w:link w:val="Footer"/>
    <w:uiPriority w:val="99"/>
    <w:rsid w:val="002D593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basedOn w:val="DefaultParagraphFont"/>
    <w:link w:val="Footer"/>
    <w:uiPriority w:val="99"/>
    <w:rsid w:val="002D593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</vt:lpstr>
    </vt:vector>
  </TitlesOfParts>
  <Company>Alaska Court System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</dc:title>
  <dc:creator>korzechowski</dc:creator>
  <cp:lastModifiedBy>Windows User</cp:lastModifiedBy>
  <cp:revision>2</cp:revision>
  <cp:lastPrinted>2019-01-22T20:16:00Z</cp:lastPrinted>
  <dcterms:created xsi:type="dcterms:W3CDTF">2019-01-22T20:16:00Z</dcterms:created>
  <dcterms:modified xsi:type="dcterms:W3CDTF">2019-01-22T20:16:00Z</dcterms:modified>
</cp:coreProperties>
</file>