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2A" w:rsidRDefault="007B1D43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 defendant’s conduct </w:t>
      </w:r>
      <w:r w:rsidR="007A32B2">
        <w:rPr>
          <w:rFonts w:ascii="Bookman Old Style" w:hAnsi="Bookman Old Style"/>
          <w:color w:val="000000"/>
          <w:sz w:val="26"/>
        </w:rPr>
        <w:t xml:space="preserve">“causes” </w:t>
      </w:r>
      <w:r w:rsidR="00820A56">
        <w:rPr>
          <w:rFonts w:ascii="Bookman Old Style" w:hAnsi="Bookman Old Style"/>
          <w:color w:val="000000"/>
          <w:sz w:val="26"/>
        </w:rPr>
        <w:t>or “results in”</w:t>
      </w:r>
      <w:r w:rsidR="008905B4">
        <w:rPr>
          <w:rFonts w:ascii="Bookman Old Style" w:hAnsi="Bookman Old Style"/>
          <w:color w:val="000000"/>
          <w:sz w:val="26"/>
        </w:rPr>
        <w:t xml:space="preserve"> </w:t>
      </w:r>
      <w:r w:rsidR="007A32B2">
        <w:rPr>
          <w:rFonts w:ascii="Bookman Old Style" w:hAnsi="Bookman Old Style"/>
          <w:color w:val="000000"/>
          <w:sz w:val="26"/>
        </w:rPr>
        <w:t xml:space="preserve">[physical injury] [serious physical injury] [death] if the defendant’s act [or failure to act] is a “substantial factor” in bringing about that result.  </w:t>
      </w:r>
      <w:r w:rsidR="00140678">
        <w:rPr>
          <w:rFonts w:ascii="Bookman Old Style" w:hAnsi="Bookman Old Style"/>
          <w:color w:val="000000"/>
          <w:sz w:val="26"/>
        </w:rPr>
        <w:t>The defendant’s conduct need not be the sole factor causing the</w:t>
      </w:r>
      <w:r w:rsidR="007A32B2">
        <w:rPr>
          <w:rFonts w:ascii="Bookman Old Style" w:hAnsi="Bookman Old Style"/>
          <w:color w:val="000000"/>
          <w:sz w:val="26"/>
        </w:rPr>
        <w:t xml:space="preserve"> [physical injury] [serious physical injury] [death]</w:t>
      </w:r>
      <w:r w:rsidR="00A9267A">
        <w:rPr>
          <w:rFonts w:ascii="Bookman Old Style" w:hAnsi="Bookman Old Style"/>
          <w:color w:val="000000"/>
          <w:sz w:val="26"/>
        </w:rPr>
        <w:t>.</w:t>
      </w:r>
      <w:r w:rsidR="00140678">
        <w:rPr>
          <w:rFonts w:ascii="Bookman Old Style" w:hAnsi="Bookman Old Style"/>
          <w:color w:val="000000"/>
          <w:sz w:val="26"/>
        </w:rPr>
        <w:t xml:space="preserve"> </w:t>
      </w:r>
    </w:p>
    <w:p w:rsidR="005838A6" w:rsidRDefault="005838A6" w:rsidP="005838A6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defendant’s conduct is a “substantial factor” if</w:t>
      </w:r>
    </w:p>
    <w:p w:rsidR="005838A6" w:rsidRDefault="007E7D8F" w:rsidP="005838A6">
      <w:pPr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</w:t>
      </w:r>
      <w:r w:rsidR="005838A6">
        <w:rPr>
          <w:rFonts w:ascii="Bookman Old Style" w:hAnsi="Bookman Old Style"/>
          <w:color w:val="000000"/>
          <w:sz w:val="26"/>
        </w:rPr>
        <w:t>he</w:t>
      </w:r>
      <w:r>
        <w:rPr>
          <w:rFonts w:ascii="Bookman Old Style" w:hAnsi="Bookman Old Style"/>
          <w:color w:val="000000"/>
          <w:sz w:val="26"/>
        </w:rPr>
        <w:t xml:space="preserve"> [physical injury] [serious physical injury] [death]</w:t>
      </w:r>
      <w:r w:rsidR="005838A6">
        <w:rPr>
          <w:rFonts w:ascii="Bookman Old Style" w:hAnsi="Bookman Old Style"/>
          <w:color w:val="000000"/>
          <w:sz w:val="26"/>
        </w:rPr>
        <w:t xml:space="preserve"> would not have occurred without the defendant’s conduct; and</w:t>
      </w:r>
    </w:p>
    <w:p w:rsidR="00A869A8" w:rsidRPr="00A26F6B" w:rsidRDefault="006B21AA" w:rsidP="001A792A">
      <w:pPr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proofErr w:type="gramStart"/>
      <w:r>
        <w:rPr>
          <w:rFonts w:ascii="Bookman Old Style" w:hAnsi="Bookman Old Style"/>
          <w:color w:val="000000"/>
          <w:sz w:val="26"/>
        </w:rPr>
        <w:t>the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defendant’s conduct must be</w:t>
      </w:r>
      <w:r w:rsidR="005838A6">
        <w:rPr>
          <w:rFonts w:ascii="Bookman Old Style" w:hAnsi="Bookman Old Style"/>
          <w:color w:val="000000"/>
          <w:sz w:val="26"/>
        </w:rPr>
        <w:t xml:space="preserve"> significant enough in causing the </w:t>
      </w:r>
      <w:r w:rsidR="008905B4">
        <w:rPr>
          <w:rFonts w:ascii="Bookman Old Style" w:hAnsi="Bookman Old Style"/>
          <w:color w:val="000000"/>
          <w:sz w:val="26"/>
        </w:rPr>
        <w:t>[physical injury] [serious physical injury] [death]</w:t>
      </w:r>
      <w:r w:rsidR="005838A6">
        <w:rPr>
          <w:rFonts w:ascii="Bookman Old Style" w:hAnsi="Bookman Old Style"/>
          <w:color w:val="000000"/>
          <w:sz w:val="26"/>
        </w:rPr>
        <w:t xml:space="preserve"> that a reasonable person would hold the defendant responsible</w:t>
      </w:r>
      <w:r>
        <w:rPr>
          <w:rFonts w:ascii="Bookman Old Style" w:hAnsi="Bookman Old Style"/>
          <w:color w:val="000000"/>
          <w:sz w:val="26"/>
        </w:rPr>
        <w:t>; the defendant’s conduct must</w:t>
      </w:r>
      <w:r w:rsidR="005838A6">
        <w:rPr>
          <w:rFonts w:ascii="Bookman Old Style" w:hAnsi="Bookman Old Style"/>
          <w:color w:val="000000"/>
          <w:sz w:val="26"/>
        </w:rPr>
        <w:t xml:space="preserve"> be</w:t>
      </w:r>
      <w:r>
        <w:rPr>
          <w:rFonts w:ascii="Bookman Old Style" w:hAnsi="Bookman Old Style"/>
          <w:color w:val="000000"/>
          <w:sz w:val="26"/>
        </w:rPr>
        <w:t xml:space="preserve"> more than</w:t>
      </w:r>
      <w:r w:rsidR="005838A6">
        <w:rPr>
          <w:rFonts w:ascii="Bookman Old Style" w:hAnsi="Bookman Old Style"/>
          <w:color w:val="000000"/>
          <w:sz w:val="26"/>
        </w:rPr>
        <w:t xml:space="preserve"> a remote or trivial factor.</w:t>
      </w:r>
    </w:p>
    <w:p w:rsidR="00A869A8" w:rsidRDefault="00A869A8" w:rsidP="001A792A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</w:p>
    <w:p w:rsidR="001A792A" w:rsidRDefault="001A792A" w:rsidP="001A792A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Several factors may operate at the same time, either independently or together, to cause harm.  In such a case, each may be</w:t>
      </w:r>
      <w:r w:rsidR="0091009D">
        <w:rPr>
          <w:rFonts w:ascii="Bookman Old Style" w:hAnsi="Bookman Old Style"/>
          <w:color w:val="000000"/>
          <w:sz w:val="26"/>
        </w:rPr>
        <w:t xml:space="preserve"> a</w:t>
      </w:r>
      <w:r>
        <w:rPr>
          <w:rFonts w:ascii="Bookman Old Style" w:hAnsi="Bookman Old Style"/>
          <w:color w:val="000000"/>
          <w:sz w:val="26"/>
        </w:rPr>
        <w:t xml:space="preserve"> substantial factor in causing</w:t>
      </w:r>
      <w:r w:rsidR="00220F24">
        <w:rPr>
          <w:rFonts w:ascii="Bookman Old Style" w:hAnsi="Bookman Old Style"/>
          <w:color w:val="000000"/>
          <w:sz w:val="26"/>
        </w:rPr>
        <w:t xml:space="preserve"> the result</w:t>
      </w:r>
      <w:r>
        <w:rPr>
          <w:rFonts w:ascii="Bookman Old Style" w:hAnsi="Bookman Old Style"/>
          <w:color w:val="000000"/>
          <w:sz w:val="26"/>
        </w:rPr>
        <w:t>.  Even if another condition, event, or other person’s acts contributed in a substantial degree to the</w:t>
      </w:r>
      <w:r w:rsidR="00A26F6B">
        <w:rPr>
          <w:rFonts w:ascii="Bookman Old Style" w:hAnsi="Bookman Old Style"/>
          <w:color w:val="000000"/>
          <w:sz w:val="26"/>
        </w:rPr>
        <w:t xml:space="preserve"> </w:t>
      </w:r>
      <w:r w:rsidR="00126288">
        <w:rPr>
          <w:rFonts w:ascii="Bookman Old Style" w:hAnsi="Bookman Old Style"/>
          <w:color w:val="000000"/>
          <w:sz w:val="26"/>
        </w:rPr>
        <w:t>[physical injury] [s</w:t>
      </w:r>
      <w:r w:rsidR="00A26F6B">
        <w:rPr>
          <w:rFonts w:ascii="Bookman Old Style" w:hAnsi="Bookman Old Style"/>
          <w:color w:val="000000"/>
          <w:sz w:val="26"/>
        </w:rPr>
        <w:t>erious physical injury] [death]</w:t>
      </w:r>
      <w:r>
        <w:rPr>
          <w:rFonts w:ascii="Bookman Old Style" w:hAnsi="Bookman Old Style"/>
          <w:color w:val="000000"/>
          <w:sz w:val="26"/>
        </w:rPr>
        <w:t>, the defendant will</w:t>
      </w:r>
      <w:r w:rsidR="009772AC">
        <w:rPr>
          <w:rFonts w:ascii="Bookman Old Style" w:hAnsi="Bookman Old Style"/>
          <w:color w:val="000000"/>
          <w:sz w:val="26"/>
        </w:rPr>
        <w:t xml:space="preserve"> still</w:t>
      </w:r>
      <w:r>
        <w:rPr>
          <w:rFonts w:ascii="Bookman Old Style" w:hAnsi="Bookman Old Style"/>
          <w:color w:val="000000"/>
          <w:sz w:val="26"/>
        </w:rPr>
        <w:t xml:space="preserve"> be responsible if </w:t>
      </w:r>
      <w:r w:rsidR="00B74103">
        <w:rPr>
          <w:rFonts w:ascii="Bookman Old Style" w:hAnsi="Bookman Old Style"/>
          <w:color w:val="000000"/>
          <w:sz w:val="26"/>
        </w:rPr>
        <w:t>[</w:t>
      </w:r>
      <w:r>
        <w:rPr>
          <w:rFonts w:ascii="Bookman Old Style" w:hAnsi="Bookman Old Style"/>
          <w:color w:val="000000"/>
          <w:sz w:val="26"/>
        </w:rPr>
        <w:t>his</w:t>
      </w:r>
      <w:r w:rsidR="00B74103">
        <w:rPr>
          <w:rFonts w:ascii="Bookman Old Style" w:hAnsi="Bookman Old Style"/>
          <w:color w:val="000000"/>
          <w:sz w:val="26"/>
        </w:rPr>
        <w:t>] [her]</w:t>
      </w:r>
      <w:r>
        <w:rPr>
          <w:rFonts w:ascii="Bookman Old Style" w:hAnsi="Bookman Old Style"/>
          <w:color w:val="000000"/>
          <w:sz w:val="26"/>
        </w:rPr>
        <w:t xml:space="preserve"> conduct was a substantial factor in</w:t>
      </w:r>
      <w:r w:rsidR="00123909">
        <w:rPr>
          <w:rFonts w:ascii="Bookman Old Style" w:hAnsi="Bookman Old Style"/>
          <w:color w:val="000000"/>
          <w:sz w:val="26"/>
        </w:rPr>
        <w:t xml:space="preserve"> causing</w:t>
      </w:r>
      <w:r>
        <w:rPr>
          <w:rFonts w:ascii="Bookman Old Style" w:hAnsi="Bookman Old Style"/>
          <w:color w:val="000000"/>
          <w:sz w:val="26"/>
        </w:rPr>
        <w:t xml:space="preserve"> the</w:t>
      </w:r>
      <w:r w:rsidR="00220F24">
        <w:rPr>
          <w:rFonts w:ascii="Bookman Old Style" w:hAnsi="Bookman Old Style"/>
          <w:color w:val="000000"/>
          <w:sz w:val="26"/>
        </w:rPr>
        <w:t xml:space="preserve"> result</w:t>
      </w:r>
      <w:r>
        <w:rPr>
          <w:rFonts w:ascii="Bookman Old Style" w:hAnsi="Bookman Old Style"/>
          <w:color w:val="000000"/>
          <w:sz w:val="26"/>
        </w:rPr>
        <w:t>.</w:t>
      </w:r>
    </w:p>
    <w:p w:rsidR="00140678" w:rsidRDefault="00140678" w:rsidP="001A792A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  </w:t>
      </w:r>
    </w:p>
    <w:p w:rsidR="005F0A0C" w:rsidRDefault="005F0A0C">
      <w:pPr>
        <w:pStyle w:val="Heading1"/>
        <w:spacing w:line="360" w:lineRule="auto"/>
        <w:ind w:right="0"/>
      </w:pPr>
    </w:p>
    <w:p w:rsidR="005F0A0C" w:rsidRDefault="005F0A0C">
      <w:pPr>
        <w:pStyle w:val="Heading1"/>
        <w:spacing w:after="0"/>
      </w:pPr>
      <w:r>
        <w:t>USE NOTE</w:t>
      </w:r>
    </w:p>
    <w:p w:rsidR="005F0A0C" w:rsidRDefault="005F0A0C"/>
    <w:p w:rsidR="000454BB" w:rsidRDefault="008905B4" w:rsidP="000454B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 xml:space="preserve">When a question of </w:t>
      </w:r>
      <w:r w:rsidR="009A00EC">
        <w:rPr>
          <w:rFonts w:ascii="Bookman Old Style" w:hAnsi="Bookman Old Style"/>
          <w:spacing w:val="-3"/>
          <w:sz w:val="26"/>
        </w:rPr>
        <w:t xml:space="preserve">proximate cause – that is, </w:t>
      </w:r>
      <w:r>
        <w:rPr>
          <w:rFonts w:ascii="Bookman Old Style" w:hAnsi="Bookman Old Style"/>
          <w:spacing w:val="-3"/>
          <w:sz w:val="26"/>
        </w:rPr>
        <w:t>whether the defendant’s conduct caused the result specified in a criminal statute</w:t>
      </w:r>
      <w:r w:rsidR="009A00EC">
        <w:rPr>
          <w:rFonts w:ascii="Bookman Old Style" w:hAnsi="Bookman Old Style"/>
          <w:spacing w:val="-3"/>
          <w:sz w:val="26"/>
        </w:rPr>
        <w:t xml:space="preserve"> – exists, </w:t>
      </w:r>
      <w:r>
        <w:rPr>
          <w:rFonts w:ascii="Bookman Old Style" w:hAnsi="Bookman Old Style"/>
          <w:spacing w:val="-3"/>
          <w:sz w:val="26"/>
        </w:rPr>
        <w:t>thi</w:t>
      </w:r>
      <w:r w:rsidR="00E76262">
        <w:rPr>
          <w:rFonts w:ascii="Bookman Old Style" w:hAnsi="Bookman Old Style"/>
          <w:spacing w:val="-3"/>
          <w:sz w:val="26"/>
        </w:rPr>
        <w:t>s instruction should be given.</w:t>
      </w:r>
      <w:r w:rsidR="000454BB" w:rsidRPr="000454BB">
        <w:rPr>
          <w:rFonts w:ascii="Bookman Old Style" w:hAnsi="Bookman Old Style"/>
          <w:spacing w:val="-3"/>
          <w:sz w:val="26"/>
        </w:rPr>
        <w:t xml:space="preserve"> </w:t>
      </w:r>
      <w:r w:rsidR="00E76262">
        <w:rPr>
          <w:rFonts w:ascii="Bookman Old Style" w:hAnsi="Bookman Old Style"/>
          <w:spacing w:val="-3"/>
          <w:sz w:val="26"/>
        </w:rPr>
        <w:t xml:space="preserve"> </w:t>
      </w:r>
      <w:r w:rsidR="000454BB">
        <w:rPr>
          <w:rFonts w:ascii="Bookman Old Style" w:hAnsi="Bookman Old Style"/>
          <w:spacing w:val="-3"/>
          <w:sz w:val="26"/>
        </w:rPr>
        <w:t>The bracketed language “failure to act” should only be used</w:t>
      </w:r>
      <w:r w:rsidR="00B01858">
        <w:rPr>
          <w:rFonts w:ascii="Bookman Old Style" w:hAnsi="Bookman Old Style"/>
          <w:spacing w:val="-3"/>
          <w:sz w:val="26"/>
        </w:rPr>
        <w:t xml:space="preserve"> for offenses based on</w:t>
      </w:r>
      <w:r w:rsidR="000454BB">
        <w:rPr>
          <w:rFonts w:ascii="Bookman Old Style" w:hAnsi="Bookman Old Style"/>
          <w:spacing w:val="-3"/>
          <w:sz w:val="26"/>
        </w:rPr>
        <w:t xml:space="preserve"> a defendant</w:t>
      </w:r>
      <w:r w:rsidR="00B01858">
        <w:rPr>
          <w:rFonts w:ascii="Bookman Old Style" w:hAnsi="Bookman Old Style"/>
          <w:spacing w:val="-3"/>
          <w:sz w:val="26"/>
        </w:rPr>
        <w:t>’s failure to satisfy</w:t>
      </w:r>
      <w:r w:rsidR="000454BB">
        <w:rPr>
          <w:rFonts w:ascii="Bookman Old Style" w:hAnsi="Bookman Old Style"/>
          <w:spacing w:val="-3"/>
          <w:sz w:val="26"/>
        </w:rPr>
        <w:t xml:space="preserve"> a legal duty to act.</w:t>
      </w:r>
      <w:r w:rsidR="005E161C">
        <w:rPr>
          <w:rFonts w:ascii="Bookman Old Style" w:hAnsi="Bookman Old Style"/>
          <w:spacing w:val="-3"/>
          <w:sz w:val="26"/>
        </w:rPr>
        <w:t xml:space="preserve">  </w:t>
      </w:r>
      <w:r w:rsidR="00C65211">
        <w:rPr>
          <w:rFonts w:ascii="Bookman Old Style" w:hAnsi="Bookman Old Style"/>
          <w:spacing w:val="-3"/>
          <w:sz w:val="26"/>
        </w:rPr>
        <w:t>The results listed in this instruction</w:t>
      </w:r>
      <w:r w:rsidR="00B01858">
        <w:rPr>
          <w:rFonts w:ascii="Bookman Old Style" w:hAnsi="Bookman Old Style"/>
          <w:spacing w:val="-3"/>
          <w:sz w:val="26"/>
        </w:rPr>
        <w:t xml:space="preserve"> are not exclusive.</w:t>
      </w:r>
      <w:r w:rsidR="00C65211">
        <w:rPr>
          <w:rFonts w:ascii="Bookman Old Style" w:hAnsi="Bookman Old Style"/>
          <w:spacing w:val="-3"/>
          <w:sz w:val="26"/>
        </w:rPr>
        <w:t xml:space="preserve"> </w:t>
      </w:r>
    </w:p>
    <w:p w:rsidR="00FE42AE" w:rsidRDefault="00FE42AE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8905B4" w:rsidRPr="009A00EC" w:rsidRDefault="000D2BDD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 xml:space="preserve">Alaska uses the “substantial factor” test for determining proximate cause.  </w:t>
      </w:r>
      <w:proofErr w:type="gramStart"/>
      <w:r w:rsidRPr="00197B71">
        <w:rPr>
          <w:rFonts w:ascii="Bookman Old Style" w:hAnsi="Bookman Old Style"/>
          <w:spacing w:val="-3"/>
          <w:sz w:val="26"/>
          <w:u w:val="single"/>
        </w:rPr>
        <w:t>Rogers v. State</w:t>
      </w:r>
      <w:r w:rsidR="00197B71">
        <w:rPr>
          <w:rFonts w:ascii="Bookman Old Style" w:hAnsi="Bookman Old Style"/>
          <w:spacing w:val="-3"/>
          <w:sz w:val="26"/>
        </w:rPr>
        <w:t xml:space="preserve">, </w:t>
      </w:r>
      <w:r>
        <w:rPr>
          <w:rFonts w:ascii="Bookman Old Style" w:hAnsi="Bookman Old Style"/>
          <w:spacing w:val="-3"/>
          <w:sz w:val="26"/>
        </w:rPr>
        <w:t>232 P.3d 1226, 1233 (Alaska 2010) (“[A] defendant can be held criminally responsible for an injury or death if the defendant’s conduct was a substantial factor in causing the injury or death.”)</w:t>
      </w:r>
      <w:proofErr w:type="gramEnd"/>
      <w:r>
        <w:rPr>
          <w:rFonts w:ascii="Bookman Old Style" w:hAnsi="Bookman Old Style"/>
          <w:spacing w:val="-3"/>
          <w:sz w:val="26"/>
        </w:rPr>
        <w:t xml:space="preserve">  </w:t>
      </w:r>
      <w:r w:rsidR="008905B4">
        <w:rPr>
          <w:rFonts w:ascii="Bookman Old Style" w:hAnsi="Bookman Old Style"/>
          <w:spacing w:val="-3"/>
          <w:sz w:val="26"/>
        </w:rPr>
        <w:t xml:space="preserve">Often, there will be evidence </w:t>
      </w:r>
      <w:r w:rsidR="009A00EC">
        <w:rPr>
          <w:rFonts w:ascii="Bookman Old Style" w:hAnsi="Bookman Old Style"/>
          <w:spacing w:val="-3"/>
          <w:sz w:val="26"/>
        </w:rPr>
        <w:t xml:space="preserve">that more than one factor caused the </w:t>
      </w:r>
      <w:r w:rsidR="00FE42AE">
        <w:rPr>
          <w:rFonts w:ascii="Bookman Old Style" w:hAnsi="Bookman Old Style"/>
          <w:spacing w:val="-3"/>
          <w:sz w:val="26"/>
        </w:rPr>
        <w:t xml:space="preserve">result specified.  </w:t>
      </w:r>
      <w:r w:rsidR="009A00EC">
        <w:rPr>
          <w:rFonts w:ascii="Bookman Old Style" w:hAnsi="Bookman Old Style"/>
          <w:spacing w:val="-3"/>
          <w:sz w:val="26"/>
        </w:rPr>
        <w:t xml:space="preserve">The defendant’s conduct need not be the only factor causing the result, but it must be a substantial factor.  </w:t>
      </w:r>
      <w:r w:rsidR="009A00EC" w:rsidRPr="00197B71">
        <w:rPr>
          <w:rFonts w:ascii="Bookman Old Style" w:hAnsi="Bookman Old Style"/>
          <w:spacing w:val="-3"/>
          <w:sz w:val="26"/>
          <w:u w:val="single"/>
        </w:rPr>
        <w:t>Rogers</w:t>
      </w:r>
      <w:r w:rsidR="009A00EC">
        <w:rPr>
          <w:rFonts w:ascii="Bookman Old Style" w:hAnsi="Bookman Old Style"/>
          <w:spacing w:val="-3"/>
          <w:sz w:val="26"/>
        </w:rPr>
        <w:t xml:space="preserve">, 232 P.3d at </w:t>
      </w:r>
      <w:r w:rsidR="000D0AE1">
        <w:rPr>
          <w:rFonts w:ascii="Bookman Old Style" w:hAnsi="Bookman Old Style"/>
          <w:spacing w:val="-3"/>
          <w:sz w:val="26"/>
        </w:rPr>
        <w:t xml:space="preserve">1233 </w:t>
      </w:r>
      <w:r w:rsidR="009A00EC">
        <w:rPr>
          <w:rFonts w:ascii="Bookman Old Style" w:hAnsi="Bookman Old Style"/>
          <w:spacing w:val="-3"/>
          <w:sz w:val="26"/>
        </w:rPr>
        <w:t xml:space="preserve">(“The law does not require the government to prove that the defendant was solely responsible for the injury or death.”); </w:t>
      </w:r>
      <w:r w:rsidR="009A00EC" w:rsidRPr="00197B71">
        <w:rPr>
          <w:rFonts w:ascii="Bookman Old Style" w:hAnsi="Bookman Old Style"/>
          <w:spacing w:val="-3"/>
          <w:sz w:val="26"/>
          <w:u w:val="single"/>
        </w:rPr>
        <w:t>State v. Malone</w:t>
      </w:r>
      <w:r w:rsidR="009A00EC">
        <w:rPr>
          <w:rFonts w:ascii="Bookman Old Style" w:hAnsi="Bookman Old Style"/>
          <w:spacing w:val="-3"/>
          <w:sz w:val="26"/>
        </w:rPr>
        <w:t>, 819 P.</w:t>
      </w:r>
      <w:r w:rsidR="00F94E0B">
        <w:rPr>
          <w:rFonts w:ascii="Bookman Old Style" w:hAnsi="Bookman Old Style"/>
          <w:spacing w:val="-3"/>
          <w:sz w:val="26"/>
        </w:rPr>
        <w:t>2</w:t>
      </w:r>
      <w:r w:rsidR="009A00EC">
        <w:rPr>
          <w:rFonts w:ascii="Bookman Old Style" w:hAnsi="Bookman Old Style"/>
          <w:spacing w:val="-3"/>
          <w:sz w:val="26"/>
        </w:rPr>
        <w:t>d 34, 36 n.36 (Alaska App. 1991) (“[T]he defendant’s conduct need not be the sole factor in producing the injury.  Rather, the test is whether the defendant’s conduct was a ‘substantial factor’ in bringing about the result.”).</w:t>
      </w:r>
    </w:p>
    <w:p w:rsidR="00624F50" w:rsidRDefault="00624F5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2C684D" w:rsidRDefault="002C684D" w:rsidP="002C684D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Evidence of another factor may present an issue of an intervening force or superseding cause, which is an abnormal, unforeseeable event or condition or abnormal, unforeseeable conduct.</w:t>
      </w:r>
      <w:r w:rsidR="00F94E0B">
        <w:rPr>
          <w:rFonts w:ascii="Bookman Old Style" w:hAnsi="Bookman Old Style"/>
          <w:spacing w:val="-3"/>
          <w:sz w:val="26"/>
        </w:rPr>
        <w:t xml:space="preserve">  </w:t>
      </w:r>
      <w:r w:rsidR="00F94E0B" w:rsidRPr="00197B71">
        <w:rPr>
          <w:rFonts w:ascii="Bookman Old Style" w:hAnsi="Bookman Old Style"/>
          <w:spacing w:val="-3"/>
          <w:sz w:val="26"/>
          <w:u w:val="single"/>
        </w:rPr>
        <w:t>Malone</w:t>
      </w:r>
      <w:r w:rsidR="00197B71">
        <w:rPr>
          <w:rFonts w:ascii="Bookman Old Style" w:hAnsi="Bookman Old Style"/>
          <w:spacing w:val="-3"/>
          <w:sz w:val="26"/>
        </w:rPr>
        <w:t>,</w:t>
      </w:r>
      <w:r w:rsidR="00F94E0B">
        <w:rPr>
          <w:rFonts w:ascii="Bookman Old Style" w:hAnsi="Bookman Old Style"/>
          <w:i/>
          <w:spacing w:val="-3"/>
          <w:sz w:val="26"/>
        </w:rPr>
        <w:t xml:space="preserve"> </w:t>
      </w:r>
      <w:proofErr w:type="gramStart"/>
      <w:r w:rsidR="00F94E0B" w:rsidRPr="0044022D">
        <w:rPr>
          <w:rFonts w:ascii="Bookman Old Style" w:hAnsi="Bookman Old Style"/>
          <w:spacing w:val="-3"/>
          <w:sz w:val="26"/>
        </w:rPr>
        <w:t>819 P.2d at 37</w:t>
      </w:r>
      <w:proofErr w:type="gramEnd"/>
      <w:r w:rsidR="00F94E0B">
        <w:rPr>
          <w:rFonts w:ascii="Bookman Old Style" w:hAnsi="Bookman Old Style"/>
          <w:i/>
          <w:spacing w:val="-3"/>
          <w:sz w:val="26"/>
        </w:rPr>
        <w:t>.</w:t>
      </w:r>
      <w:r>
        <w:rPr>
          <w:rFonts w:ascii="Bookman Old Style" w:hAnsi="Bookman Old Style"/>
          <w:spacing w:val="-3"/>
          <w:sz w:val="26"/>
        </w:rPr>
        <w:t xml:space="preserve">  An intervening force or superseding cause relieves the defendant of responsibility even though his or her conduct was a substantial factor in bringing about the result.  If there is evidence of an intervening force or superseding cause, </w:t>
      </w:r>
      <w:r w:rsidR="00197B71">
        <w:rPr>
          <w:rFonts w:ascii="Bookman Old Style" w:hAnsi="Bookman Old Style"/>
          <w:spacing w:val="-3"/>
          <w:sz w:val="26"/>
        </w:rPr>
        <w:t xml:space="preserve">Pattern </w:t>
      </w:r>
      <w:bookmarkStart w:id="0" w:name="_GoBack"/>
      <w:bookmarkEnd w:id="0"/>
      <w:r>
        <w:rPr>
          <w:rFonts w:ascii="Bookman Old Style" w:hAnsi="Bookman Old Style"/>
          <w:spacing w:val="-3"/>
          <w:sz w:val="26"/>
        </w:rPr>
        <w:t xml:space="preserve">Instruction </w:t>
      </w:r>
      <w:r w:rsidR="00FA671C">
        <w:rPr>
          <w:rFonts w:ascii="Bookman Old Style" w:hAnsi="Bookman Old Style"/>
          <w:spacing w:val="-3"/>
          <w:sz w:val="26"/>
        </w:rPr>
        <w:t xml:space="preserve">1.25.2 </w:t>
      </w:r>
      <w:r>
        <w:rPr>
          <w:rFonts w:ascii="Bookman Old Style" w:hAnsi="Bookman Old Style"/>
          <w:spacing w:val="-3"/>
          <w:sz w:val="26"/>
        </w:rPr>
        <w:t xml:space="preserve">(Superseding Cause) should be given immediately following this instruction.  </w:t>
      </w:r>
    </w:p>
    <w:p w:rsidR="00137C51" w:rsidRDefault="00137C51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1A792A" w:rsidRDefault="001A792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1A792A" w:rsidRPr="001A792A" w:rsidRDefault="001A792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140678" w:rsidRPr="00140678" w:rsidRDefault="00140678">
      <w:pPr>
        <w:tabs>
          <w:tab w:val="left" w:pos="-720"/>
        </w:tabs>
        <w:suppressAutoHyphens/>
        <w:jc w:val="both"/>
      </w:pPr>
    </w:p>
    <w:sectPr w:rsidR="00140678" w:rsidRPr="00140678" w:rsidSect="00510ECB">
      <w:headerReference w:type="default" r:id="rId8"/>
      <w:headerReference w:type="first" r:id="rId9"/>
      <w:pgSz w:w="12240" w:h="15840" w:code="1"/>
      <w:pgMar w:top="2880" w:right="1354" w:bottom="1440" w:left="1440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A9" w:rsidRDefault="000B30A9">
      <w:r>
        <w:separator/>
      </w:r>
    </w:p>
  </w:endnote>
  <w:endnote w:type="continuationSeparator" w:id="0">
    <w:p w:rsidR="000B30A9" w:rsidRDefault="000B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A9" w:rsidRDefault="000B30A9">
      <w:r>
        <w:separator/>
      </w:r>
    </w:p>
  </w:footnote>
  <w:footnote w:type="continuationSeparator" w:id="0">
    <w:p w:rsidR="000B30A9" w:rsidRDefault="000B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0C" w:rsidRDefault="00140678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CAUSATION </w:t>
    </w:r>
    <w:r w:rsidR="005F0A0C">
      <w:rPr>
        <w:rFonts w:ascii="Bookman Old Style" w:hAnsi="Bookman Old Style"/>
        <w:b/>
        <w:sz w:val="24"/>
      </w:rPr>
      <w:tab/>
    </w:r>
    <w:r w:rsidR="0035405C">
      <w:rPr>
        <w:rFonts w:ascii="Bookman Old Style" w:hAnsi="Bookman Old Style"/>
        <w:b/>
        <w:sz w:val="24"/>
      </w:rPr>
      <w:t>1.25.1</w:t>
    </w:r>
  </w:p>
  <w:p w:rsidR="005F0A0C" w:rsidRDefault="005F0A0C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napToGrid w:val="0"/>
        <w:sz w:val="26"/>
      </w:rPr>
    </w:pPr>
    <w:r>
      <w:rPr>
        <w:rFonts w:ascii="Bookman Old Style" w:hAnsi="Bookman Old Style"/>
        <w:b/>
        <w:snapToGrid w:val="0"/>
        <w:sz w:val="26"/>
      </w:rPr>
      <w:t xml:space="preserve">Page </w:t>
    </w:r>
    <w:r w:rsidR="00510ECB">
      <w:rPr>
        <w:rFonts w:ascii="Bookman Old Style" w:hAnsi="Bookman Old Style"/>
        <w:b/>
        <w:snapToGrid w:val="0"/>
        <w:sz w:val="26"/>
      </w:rPr>
      <w:fldChar w:fldCharType="begin"/>
    </w:r>
    <w:r>
      <w:rPr>
        <w:rFonts w:ascii="Bookman Old Style" w:hAnsi="Bookman Old Style"/>
        <w:b/>
        <w:snapToGrid w:val="0"/>
        <w:sz w:val="26"/>
      </w:rPr>
      <w:instrText xml:space="preserve"> PAGE </w:instrText>
    </w:r>
    <w:r w:rsidR="00510ECB">
      <w:rPr>
        <w:rFonts w:ascii="Bookman Old Style" w:hAnsi="Bookman Old Style"/>
        <w:b/>
        <w:snapToGrid w:val="0"/>
        <w:sz w:val="26"/>
      </w:rPr>
      <w:fldChar w:fldCharType="separate"/>
    </w:r>
    <w:r w:rsidR="00197B71">
      <w:rPr>
        <w:rFonts w:ascii="Bookman Old Style" w:hAnsi="Bookman Old Style"/>
        <w:b/>
        <w:noProof/>
        <w:snapToGrid w:val="0"/>
        <w:sz w:val="26"/>
      </w:rPr>
      <w:t>2</w:t>
    </w:r>
    <w:r w:rsidR="00510ECB">
      <w:rPr>
        <w:rFonts w:ascii="Bookman Old Style" w:hAnsi="Bookman Old Style"/>
        <w:b/>
        <w:snapToGrid w:val="0"/>
        <w:sz w:val="26"/>
      </w:rPr>
      <w:fldChar w:fldCharType="end"/>
    </w:r>
    <w:r>
      <w:rPr>
        <w:rFonts w:ascii="Bookman Old Style" w:hAnsi="Bookman Old Style"/>
        <w:b/>
        <w:snapToGrid w:val="0"/>
        <w:sz w:val="26"/>
      </w:rPr>
      <w:t xml:space="preserve"> of </w:t>
    </w:r>
    <w:r w:rsidR="00510ECB">
      <w:rPr>
        <w:rFonts w:ascii="Bookman Old Style" w:hAnsi="Bookman Old Style"/>
        <w:b/>
        <w:snapToGrid w:val="0"/>
        <w:sz w:val="26"/>
      </w:rPr>
      <w:fldChar w:fldCharType="begin"/>
    </w:r>
    <w:r>
      <w:rPr>
        <w:rFonts w:ascii="Bookman Old Style" w:hAnsi="Bookman Old Style"/>
        <w:b/>
        <w:snapToGrid w:val="0"/>
        <w:sz w:val="26"/>
      </w:rPr>
      <w:instrText xml:space="preserve"> NUMPAGES </w:instrText>
    </w:r>
    <w:r w:rsidR="00510ECB">
      <w:rPr>
        <w:rFonts w:ascii="Bookman Old Style" w:hAnsi="Bookman Old Style"/>
        <w:b/>
        <w:snapToGrid w:val="0"/>
        <w:sz w:val="26"/>
      </w:rPr>
      <w:fldChar w:fldCharType="separate"/>
    </w:r>
    <w:r w:rsidR="00197B71">
      <w:rPr>
        <w:rFonts w:ascii="Bookman Old Style" w:hAnsi="Bookman Old Style"/>
        <w:b/>
        <w:noProof/>
        <w:snapToGrid w:val="0"/>
        <w:sz w:val="26"/>
      </w:rPr>
      <w:t>2</w:t>
    </w:r>
    <w:r w:rsidR="00510ECB">
      <w:rPr>
        <w:rFonts w:ascii="Bookman Old Style" w:hAnsi="Bookman Old Style"/>
        <w:b/>
        <w:snapToGrid w:val="0"/>
        <w:sz w:val="26"/>
      </w:rPr>
      <w:fldChar w:fldCharType="end"/>
    </w:r>
  </w:p>
  <w:p w:rsidR="005C1546" w:rsidRDefault="005C1546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6"/>
      </w:rPr>
    </w:pPr>
    <w:r>
      <w:rPr>
        <w:rFonts w:ascii="Bookman Old Style" w:hAnsi="Bookman Old Style"/>
        <w:b/>
        <w:snapToGrid w:val="0"/>
        <w:sz w:val="26"/>
      </w:rPr>
      <w:t>Added 2013</w:t>
    </w:r>
  </w:p>
  <w:p w:rsidR="005F0A0C" w:rsidRDefault="000B30A9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rPr>
        <w:rFonts w:ascii="Bookman Old Style" w:hAnsi="Bookman Old Style"/>
        <w:b/>
        <w:noProof/>
        <w:sz w:val="26"/>
      </w:rPr>
      <w:pict>
        <v:line id="Line 1" o:spid="_x0000_s2049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" o:allowincell="f" strokeweight="1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0C" w:rsidRDefault="005F0A0C">
    <w:pPr>
      <w:tabs>
        <w:tab w:val="right" w:pos="8910"/>
      </w:tabs>
      <w:rPr>
        <w:rFonts w:ascii="Courier New" w:hAnsi="Courier New"/>
        <w:sz w:val="24"/>
      </w:rPr>
    </w:pPr>
    <w:r>
      <w:rPr>
        <w:rFonts w:ascii="Courier New" w:hAnsi="Courier New"/>
        <w:sz w:val="24"/>
      </w:rPr>
      <w:t>81.430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3A06"/>
    <w:multiLevelType w:val="hybridMultilevel"/>
    <w:tmpl w:val="2FC4F2E8"/>
    <w:lvl w:ilvl="0" w:tplc="37809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617B5D21-92E5-44B7-8F8F-CB37273605FD}"/>
    <w:docVar w:name="dgnword-eventsink" w:val="98802880"/>
  </w:docVars>
  <w:rsids>
    <w:rsidRoot w:val="005659A3"/>
    <w:rsid w:val="000454BB"/>
    <w:rsid w:val="000B30A9"/>
    <w:rsid w:val="000D0AE1"/>
    <w:rsid w:val="000D2BDD"/>
    <w:rsid w:val="00123909"/>
    <w:rsid w:val="00126288"/>
    <w:rsid w:val="00137C51"/>
    <w:rsid w:val="00140678"/>
    <w:rsid w:val="00197B71"/>
    <w:rsid w:val="001A792A"/>
    <w:rsid w:val="00220F24"/>
    <w:rsid w:val="002C684D"/>
    <w:rsid w:val="0031697C"/>
    <w:rsid w:val="0035405C"/>
    <w:rsid w:val="00394294"/>
    <w:rsid w:val="003A042A"/>
    <w:rsid w:val="0044022D"/>
    <w:rsid w:val="00510ECB"/>
    <w:rsid w:val="0052038B"/>
    <w:rsid w:val="005659A3"/>
    <w:rsid w:val="005838A6"/>
    <w:rsid w:val="005C1546"/>
    <w:rsid w:val="005E161C"/>
    <w:rsid w:val="005F0A0C"/>
    <w:rsid w:val="00610DAE"/>
    <w:rsid w:val="00624F50"/>
    <w:rsid w:val="006B21AA"/>
    <w:rsid w:val="006C3F8D"/>
    <w:rsid w:val="00764D35"/>
    <w:rsid w:val="007A32B2"/>
    <w:rsid w:val="007B1D43"/>
    <w:rsid w:val="007E7D8F"/>
    <w:rsid w:val="00820A56"/>
    <w:rsid w:val="008905B4"/>
    <w:rsid w:val="0091009D"/>
    <w:rsid w:val="00924D76"/>
    <w:rsid w:val="00967C69"/>
    <w:rsid w:val="009772AC"/>
    <w:rsid w:val="0099294F"/>
    <w:rsid w:val="009A00EC"/>
    <w:rsid w:val="00A26F6B"/>
    <w:rsid w:val="00A869A8"/>
    <w:rsid w:val="00A9267A"/>
    <w:rsid w:val="00A93AFB"/>
    <w:rsid w:val="00B01858"/>
    <w:rsid w:val="00B3342F"/>
    <w:rsid w:val="00B4799B"/>
    <w:rsid w:val="00B74103"/>
    <w:rsid w:val="00C65211"/>
    <w:rsid w:val="00D2345A"/>
    <w:rsid w:val="00DF3A66"/>
    <w:rsid w:val="00E76262"/>
    <w:rsid w:val="00F35E27"/>
    <w:rsid w:val="00F94E0B"/>
    <w:rsid w:val="00FA671C"/>
    <w:rsid w:val="00FB4FFD"/>
    <w:rsid w:val="00FC7978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ECB"/>
  </w:style>
  <w:style w:type="paragraph" w:styleId="Heading1">
    <w:name w:val="heading 1"/>
    <w:basedOn w:val="Normal"/>
    <w:next w:val="Normal"/>
    <w:qFormat/>
    <w:rsid w:val="00510ECB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0E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EC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10ECB"/>
    <w:rPr>
      <w:sz w:val="16"/>
    </w:rPr>
  </w:style>
  <w:style w:type="paragraph" w:styleId="CommentText">
    <w:name w:val="annotation text"/>
    <w:basedOn w:val="Normal"/>
    <w:semiHidden/>
    <w:rsid w:val="00510ECB"/>
  </w:style>
  <w:style w:type="paragraph" w:styleId="BalloonText">
    <w:name w:val="Balloon Text"/>
    <w:basedOn w:val="Normal"/>
    <w:link w:val="BalloonTextChar"/>
    <w:rsid w:val="0092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riminalPJI%20format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CriminalPJI format-general</Template>
  <TotalTime>83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use of force upon another person that would otherwise constitute an offense is justified under the following circumstances:</vt:lpstr>
    </vt:vector>
  </TitlesOfParts>
  <Company>Alaska Court System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use of force upon another person that would otherwise constitute an offense is justified under the following circumstances:</dc:title>
  <dc:creator>Christine Johnson</dc:creator>
  <cp:lastModifiedBy>Robert Polley</cp:lastModifiedBy>
  <cp:revision>22</cp:revision>
  <cp:lastPrinted>2013-02-12T18:35:00Z</cp:lastPrinted>
  <dcterms:created xsi:type="dcterms:W3CDTF">2013-02-12T19:54:00Z</dcterms:created>
  <dcterms:modified xsi:type="dcterms:W3CDTF">2013-09-18T20:03:00Z</dcterms:modified>
</cp:coreProperties>
</file>